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00"/>
        <w:jc w:val="center"/>
      </w:pPr>
      <w:r>
        <w:rPr>
          <w:rFonts w:ascii="Carlito" w:hAnsi="Carlito"/>
          <w:b/>
          <w:color w:val="1F4E79"/>
          <w:sz w:val="24"/>
        </w:rPr>
        <w:t>GREY SWAN / ARCHIMEDES</w:t>
      </w:r>
    </w:p>
    <w:p>
      <w:pPr>
        <w:jc w:val="center"/>
      </w:pPr>
      <w:r>
        <w:rPr>
          <w:rFonts w:ascii="Carlito" w:hAnsi="Carlito"/>
          <w:b/>
          <w:color w:val="17365D"/>
          <w:sz w:val="48"/>
        </w:rPr>
        <w:t>v12.0-R1 Baseline and Transition Report</w:t>
      </w:r>
    </w:p>
    <w:p>
      <w:pPr>
        <w:spacing w:after="440"/>
        <w:jc w:val="center"/>
      </w:pPr>
      <w:r>
        <w:rPr>
          <w:rFonts w:ascii="Carlito" w:hAnsi="Carlito"/>
          <w:color w:val="666666"/>
          <w:sz w:val="24"/>
        </w:rPr>
        <w:t>Global assessment | Evidence cutoff: 5 September 2026</w:t>
      </w:r>
    </w:p>
    <w:p>
      <w:pPr>
        <w:spacing w:before="160" w:after="320"/>
        <w:ind w:left="1440" w:right="1440"/>
        <w:jc w:val="center"/>
        <w:shd w:fill="17365D"/>
      </w:pPr>
      <w:r>
        <w:rPr>
          <w:rFonts w:ascii="Carlito" w:hAnsi="Carlito"/>
          <w:b/>
          <w:color w:val="FFFFFF"/>
          <w:sz w:val="26"/>
        </w:rPr>
        <w:t>The productive engine is still running. The institutions responsible for steering, distributing and legitimizing its gains are not moving at the same speed.</w:t>
      </w:r>
    </w:p>
    <w:p>
      <w:pPr>
        <w:spacing w:after="60"/>
        <w:jc w:val="center"/>
      </w:pPr>
      <w:r>
        <w:rPr>
          <w:rFonts w:ascii="Carlito" w:hAnsi="Carlito"/>
          <w:b/>
          <w:color w:val="666666"/>
          <w:sz w:val="19"/>
        </w:rPr>
        <w:t xml:space="preserve">Model status: </w:t>
      </w:r>
      <w:r>
        <w:rPr>
          <w:rFonts w:ascii="Carlito" w:hAnsi="Carlito"/>
          <w:color w:val="666666"/>
          <w:sz w:val="19"/>
        </w:rPr>
        <w:t>First formal run under the frozen v12.0 architecture</w:t>
      </w:r>
    </w:p>
    <w:p>
      <w:pPr>
        <w:spacing w:after="60"/>
        <w:jc w:val="center"/>
      </w:pPr>
      <w:r>
        <w:rPr>
          <w:rFonts w:ascii="Carlito" w:hAnsi="Carlito"/>
          <w:b/>
          <w:color w:val="666666"/>
          <w:sz w:val="19"/>
        </w:rPr>
        <w:t xml:space="preserve">Prior: </w:t>
      </w:r>
      <w:r>
        <w:rPr>
          <w:rFonts w:ascii="Carlito" w:hAnsi="Carlito"/>
          <w:color w:val="666666"/>
          <w:sz w:val="19"/>
        </w:rPr>
        <w:t>Closing Autumn 2026 v11.9 conditional probabilities</w:t>
      </w:r>
    </w:p>
    <w:p>
      <w:pPr>
        <w:spacing w:after="60"/>
        <w:jc w:val="center"/>
      </w:pPr>
      <w:r>
        <w:rPr>
          <w:rFonts w:ascii="Carlito" w:hAnsi="Carlito"/>
          <w:b/>
          <w:color w:val="666666"/>
          <w:sz w:val="19"/>
        </w:rPr>
        <w:t xml:space="preserve">Posture baseline: </w:t>
      </w:r>
      <w:r>
        <w:rPr>
          <w:rFonts w:ascii="Carlito" w:hAnsi="Carlito"/>
          <w:color w:val="666666"/>
          <w:sz w:val="19"/>
        </w:rPr>
        <w:t>DTR 10% / LIR 90%</w:t>
      </w:r>
    </w:p>
    <w:p>
      <w:pPr>
        <w:spacing w:after="60"/>
        <w:jc w:val="center"/>
      </w:pPr>
      <w:r>
        <w:rPr>
          <w:rFonts w:ascii="Carlito" w:hAnsi="Carlito"/>
          <w:b/>
          <w:color w:val="666666"/>
          <w:sz w:val="19"/>
        </w:rPr>
        <w:t xml:space="preserve">Authorial framework: </w:t>
      </w:r>
      <w:r>
        <w:rPr>
          <w:rFonts w:ascii="Carlito" w:hAnsi="Carlito"/>
          <w:color w:val="666666"/>
          <w:sz w:val="19"/>
        </w:rPr>
        <w:t>Grey Swan / Archimedes, developed by Ewan Simpson</w:t>
      </w:r>
    </w:p>
    <w:p>
      <w:r>
        <w:br w:type="page"/>
      </w:r>
    </w:p>
    <w:p>
      <w:pPr>
        <w:pStyle w:val="Heading1"/>
        <w:spacing w:after="100" w:before="0" w:line="259" w:lineRule="auto"/>
      </w:pPr>
      <w:r>
        <w:rPr>
          <w:rFonts w:ascii="Carlito" w:hAnsi="Carlito"/>
        </w:rPr>
        <w:t>Executive summary: the 29 bus version</w:t>
      </w:r>
    </w:p>
    <w:p>
      <w:pPr>
        <w:spacing w:after="100" w:before="0" w:line="259" w:lineRule="auto"/>
      </w:pPr>
      <w:r>
        <w:rPr>
          <w:rFonts w:ascii="Carlito" w:hAnsi="Carlito"/>
        </w:rPr>
        <w:t>Grey Swan asks a simple question: if AI and other major forces keep changing the economy quickly, will governments and institutions manage the transition well, or will they mostly let events run ahead of them and patch problems afterwards?</w:t>
      </w:r>
    </w:p>
    <w:p>
      <w:pPr>
        <w:spacing w:after="100" w:before="0" w:line="259" w:lineRule="auto"/>
      </w:pPr>
      <w:r>
        <w:rPr>
          <w:rFonts w:ascii="Carlito" w:hAnsi="Carlito"/>
        </w:rPr>
        <w:t>v12 calls those two postures Do The Right Thing (DTR) and Let It Rip (LIR). DTR does not mean perfect government. It means enough coordinated action to build resilient systems, broaden access to new capability, protect trust and make sure that ordinary people share in the gains. LIR means the opposite pattern: rapid deployment, concentrated benefits, weak coordination and reactive policy.</w:t>
      </w:r>
    </w:p>
    <w:tbl>
      <w:tblPr>
        <w:tblStyle w:val="TableGrid"/>
        <w:tblW w:type="auto" w:w="0"/>
        <w:jc w:val="center"/>
        <w:tblLook w:firstColumn="1" w:firstRow="1" w:lastColumn="0" w:lastRow="0" w:noHBand="0" w:noVBand="1" w:val="04A0"/>
      </w:tblPr>
      <w:tblGrid>
        <w:gridCol w:w="10051"/>
      </w:tblGrid>
      <w:tr>
        <w:trPr>
          <w:cantSplit/>
        </w:trPr>
        <w:tc>
          <w:tcPr>
            <w:tcW w:type="dxa" w:w="10051"/>
            <w:shd w:fill="D9EAF7"/>
            <w:tcMar>
              <w:top w:w="120" w:type="dxa"/>
              <w:start w:w="160" w:type="dxa"/>
              <w:bottom w:w="120" w:type="dxa"/>
              <w:end w:w="160" w:type="dxa"/>
            </w:tcMar>
          </w:tcPr>
          <w:p>
            <w:pPr>
              <w:spacing w:after="60"/>
            </w:pPr>
            <w:r>
              <w:rPr>
                <w:rFonts w:ascii="Carlito" w:hAnsi="Carlito"/>
                <w:b/>
                <w:color w:val="17365D"/>
                <w:sz w:val="22"/>
              </w:rPr>
              <w:t>The bottom line</w:t>
            </w:r>
          </w:p>
          <w:p>
            <w:pPr>
              <w:spacing w:after="0" w:line="259" w:lineRule="auto"/>
            </w:pPr>
            <w:r>
              <w:rPr>
                <w:rFonts w:ascii="Carlito" w:hAnsi="Carlito"/>
                <w:sz w:val="20"/>
              </w:rPr>
              <w:t>On the evidence available on 5 September 2026, the world looks much more like LIR than DTR. The baseline judgment is 10% DTR and 90% LIR. That is a model judgment, not a statistical fact, and a reasonable sensitivity range is 7-15% DTR.</w:t>
            </w:r>
          </w:p>
        </w:tc>
      </w:tr>
    </w:tbl>
    <w:p>
      <w:pPr>
        <w:spacing w:after="20"/>
      </w:pPr>
    </w:p>
    <w:p>
      <w:pPr>
        <w:spacing w:after="100" w:before="0" w:line="259" w:lineRule="auto"/>
      </w:pPr>
      <w:r>
        <w:rPr>
          <w:rFonts w:ascii="Carlito" w:hAnsi="Carlito"/>
        </w:rPr>
        <w:t>The economy itself is not collapsing. Global growth is still positive, productivity is improving modestly, major electricity systems are adapting, financial inclusion has improved and some serious AI governance measures are now being implemented. That matters because Grey Swan is not a doom model. It records positive evidence when it exists.</w:t>
      </w:r>
    </w:p>
    <w:p>
      <w:pPr>
        <w:spacing w:after="100" w:before="0" w:line="259" w:lineRule="auto"/>
      </w:pPr>
      <w:r>
        <w:rPr>
          <w:rFonts w:ascii="Carlito" w:hAnsi="Carlito"/>
        </w:rPr>
        <w:t>The problem is that these gains are not moving together. Advanced AI compute remains highly concentrated. Education systems are adapting unevenly. Institutional trust and integrity remain weak. International coordination is developing more slowly than technology. Labor is not clearly receiving a larger share of productivity gains. The Wealth-Diffusion Gate, the test that asks whether progress is reaching households and workers rather than mainly capital owners and frontier firms, remains closed.</w:t>
      </w:r>
    </w:p>
    <w:p>
      <w:pPr>
        <w:pStyle w:val="Heading2"/>
        <w:spacing w:after="100" w:before="0" w:line="259" w:lineRule="auto"/>
      </w:pPr>
      <w:r>
        <w:rPr>
          <w:rFonts w:ascii="Carlito" w:hAnsi="Carlito"/>
        </w:rPr>
        <w:t>What the numbers say</w:t>
      </w:r>
    </w:p>
    <w:tbl>
      <w:tblPr>
        <w:tblStyle w:val="TableGrid"/>
        <w:tblW w:type="auto" w:w="0"/>
        <w:jc w:val="center"/>
        <w:tblLayout w:type="autofit"/>
        <w:tblLook w:firstColumn="1" w:firstRow="1" w:lastColumn="0" w:lastRow="0" w:noHBand="0" w:noVBand="1" w:val="04A0"/>
      </w:tblPr>
      <w:tblGrid>
        <w:gridCol w:w="2010"/>
        <w:gridCol w:w="2010"/>
        <w:gridCol w:w="2010"/>
        <w:gridCol w:w="2010"/>
        <w:gridCol w:w="2010"/>
      </w:tblGrid>
      <w:tr>
        <w:trPr>
          <w:tblHeader w:val="true"/>
          <w:cantSplit/>
        </w:trPr>
        <w:tc>
          <w:tcPr>
            <w:tcW w:type="dxa" w:w="1440"/>
            <w:shd w:fill="17365D"/>
            <w:tcMar>
              <w:top w:w="70" w:type="dxa"/>
              <w:start w:w="90" w:type="dxa"/>
              <w:bottom w:w="70" w:type="dxa"/>
              <w:end w:w="90" w:type="dxa"/>
            </w:tcMar>
            <w:vAlign w:val="center"/>
          </w:tcPr>
          <w:p>
            <w:pPr>
              <w:spacing w:after="0"/>
            </w:pPr>
            <w:r/>
            <w:r>
              <w:rPr>
                <w:rFonts w:ascii="Carlito" w:hAnsi="Carlito"/>
                <w:b/>
                <w:color w:val="FFFFFF"/>
                <w:sz w:val="18"/>
              </w:rPr>
              <w:t>Horizon</w:t>
            </w:r>
          </w:p>
        </w:tc>
        <w:tc>
          <w:tcPr>
            <w:tcW w:type="dxa" w:w="2088"/>
            <w:shd w:fill="17365D"/>
            <w:tcMar>
              <w:top w:w="70" w:type="dxa"/>
              <w:start w:w="90" w:type="dxa"/>
              <w:bottom w:w="70" w:type="dxa"/>
              <w:end w:w="90" w:type="dxa"/>
            </w:tcMar>
            <w:vAlign w:val="center"/>
          </w:tcPr>
          <w:p>
            <w:pPr>
              <w:spacing w:after="0"/>
            </w:pPr>
            <w:r/>
            <w:r>
              <w:rPr>
                <w:rFonts w:ascii="Carlito" w:hAnsi="Carlito"/>
                <w:b/>
                <w:color w:val="FFFFFF"/>
                <w:sz w:val="18"/>
              </w:rPr>
              <w:t>Full Empowerment</w:t>
            </w:r>
          </w:p>
        </w:tc>
        <w:tc>
          <w:tcPr>
            <w:tcW w:type="dxa" w:w="2232"/>
            <w:shd w:fill="17365D"/>
            <w:tcMar>
              <w:top w:w="70" w:type="dxa"/>
              <w:start w:w="90" w:type="dxa"/>
              <w:bottom w:w="70" w:type="dxa"/>
              <w:end w:w="90" w:type="dxa"/>
            </w:tcMar>
            <w:vAlign w:val="center"/>
          </w:tcPr>
          <w:p>
            <w:pPr>
              <w:spacing w:after="0"/>
            </w:pPr>
            <w:r/>
            <w:r>
              <w:rPr>
                <w:rFonts w:ascii="Carlito" w:hAnsi="Carlito"/>
                <w:b/>
                <w:color w:val="FFFFFF"/>
                <w:sz w:val="18"/>
              </w:rPr>
              <w:t>Managed Disruption</w:t>
            </w:r>
          </w:p>
        </w:tc>
        <w:tc>
          <w:tcPr>
            <w:tcW w:type="dxa" w:w="2232"/>
            <w:shd w:fill="17365D"/>
            <w:tcMar>
              <w:top w:w="70" w:type="dxa"/>
              <w:start w:w="90" w:type="dxa"/>
              <w:bottom w:w="70" w:type="dxa"/>
              <w:end w:w="90" w:type="dxa"/>
            </w:tcMar>
            <w:vAlign w:val="center"/>
          </w:tcPr>
          <w:p>
            <w:pPr>
              <w:spacing w:after="0"/>
            </w:pPr>
            <w:r/>
            <w:r>
              <w:rPr>
                <w:rFonts w:ascii="Carlito" w:hAnsi="Carlito"/>
                <w:b/>
                <w:color w:val="FFFFFF"/>
                <w:sz w:val="18"/>
              </w:rPr>
              <w:t>Uneven Transition</w:t>
            </w:r>
          </w:p>
        </w:tc>
        <w:tc>
          <w:tcPr>
            <w:tcW w:type="dxa" w:w="2088"/>
            <w:shd w:fill="17365D"/>
            <w:tcMar>
              <w:top w:w="70" w:type="dxa"/>
              <w:start w:w="90" w:type="dxa"/>
              <w:bottom w:w="70" w:type="dxa"/>
              <w:end w:w="90" w:type="dxa"/>
            </w:tcMar>
            <w:vAlign w:val="center"/>
          </w:tcPr>
          <w:p>
            <w:pPr>
              <w:spacing w:after="0"/>
            </w:pPr>
            <w:r/>
            <w:r>
              <w:rPr>
                <w:rFonts w:ascii="Carlito" w:hAnsi="Carlito"/>
                <w:b/>
                <w:color w:val="FFFFFF"/>
                <w:sz w:val="18"/>
              </w:rPr>
              <w:t>Lost Control</w:t>
            </w:r>
          </w:p>
        </w:tc>
      </w:tr>
      <w:tr>
        <w:trPr>
          <w:cantSplit/>
        </w:trPr>
        <w:tc>
          <w:tcPr>
            <w:tcW w:type="dxa" w:w="1440"/>
            <w:tcMar>
              <w:top w:w="70" w:type="dxa"/>
              <w:start w:w="90" w:type="dxa"/>
              <w:bottom w:w="70" w:type="dxa"/>
              <w:end w:w="90" w:type="dxa"/>
            </w:tcMar>
            <w:vAlign w:val="top"/>
          </w:tcPr>
          <w:p>
            <w:pPr>
              <w:spacing w:after="0"/>
            </w:pPr>
            <w:r/>
            <w:r>
              <w:rPr>
                <w:rFonts w:ascii="Carlito" w:hAnsi="Carlito"/>
                <w:sz w:val="18"/>
              </w:rPr>
              <w:t>2030</w:t>
            </w:r>
          </w:p>
        </w:tc>
        <w:tc>
          <w:tcPr>
            <w:tcW w:type="dxa" w:w="2088"/>
            <w:tcMar>
              <w:top w:w="70" w:type="dxa"/>
              <w:start w:w="90" w:type="dxa"/>
              <w:bottom w:w="70" w:type="dxa"/>
              <w:end w:w="90" w:type="dxa"/>
            </w:tcMar>
            <w:vAlign w:val="top"/>
          </w:tcPr>
          <w:p>
            <w:pPr>
              <w:spacing w:after="0"/>
            </w:pPr>
            <w:r/>
            <w:r>
              <w:rPr>
                <w:rFonts w:ascii="Carlito" w:hAnsi="Carlito"/>
                <w:sz w:val="18"/>
              </w:rPr>
              <w:t>0.3%</w:t>
            </w:r>
          </w:p>
        </w:tc>
        <w:tc>
          <w:tcPr>
            <w:tcW w:type="dxa" w:w="2232"/>
            <w:tcMar>
              <w:top w:w="70" w:type="dxa"/>
              <w:start w:w="90" w:type="dxa"/>
              <w:bottom w:w="70" w:type="dxa"/>
              <w:end w:w="90" w:type="dxa"/>
            </w:tcMar>
            <w:vAlign w:val="top"/>
          </w:tcPr>
          <w:p>
            <w:pPr>
              <w:spacing w:after="0"/>
            </w:pPr>
            <w:r/>
            <w:r>
              <w:rPr>
                <w:rFonts w:ascii="Carlito" w:hAnsi="Carlito"/>
                <w:sz w:val="18"/>
              </w:rPr>
              <w:t>3.6%</w:t>
            </w:r>
          </w:p>
        </w:tc>
        <w:tc>
          <w:tcPr>
            <w:tcW w:type="dxa" w:w="2232"/>
            <w:tcMar>
              <w:top w:w="70" w:type="dxa"/>
              <w:start w:w="90" w:type="dxa"/>
              <w:bottom w:w="70" w:type="dxa"/>
              <w:end w:w="90" w:type="dxa"/>
            </w:tcMar>
            <w:vAlign w:val="top"/>
          </w:tcPr>
          <w:p>
            <w:pPr>
              <w:spacing w:after="0"/>
            </w:pPr>
            <w:r/>
            <w:r>
              <w:rPr>
                <w:rFonts w:ascii="Carlito" w:hAnsi="Carlito"/>
                <w:sz w:val="18"/>
              </w:rPr>
              <w:t>25.5%</w:t>
            </w:r>
          </w:p>
        </w:tc>
        <w:tc>
          <w:tcPr>
            <w:tcW w:type="dxa" w:w="2088"/>
            <w:tcMar>
              <w:top w:w="70" w:type="dxa"/>
              <w:start w:w="90" w:type="dxa"/>
              <w:bottom w:w="70" w:type="dxa"/>
              <w:end w:w="90" w:type="dxa"/>
            </w:tcMar>
            <w:vAlign w:val="top"/>
          </w:tcPr>
          <w:p>
            <w:pPr>
              <w:spacing w:after="0"/>
            </w:pPr>
            <w:r/>
            <w:r>
              <w:rPr>
                <w:rFonts w:ascii="Carlito" w:hAnsi="Carlito"/>
                <w:sz w:val="18"/>
              </w:rPr>
              <w:t>70.6%</w:t>
            </w:r>
          </w:p>
        </w:tc>
      </w:tr>
      <w:tr>
        <w:trPr>
          <w:cantSplit/>
        </w:trPr>
        <w:tc>
          <w:tcPr>
            <w:tcW w:type="dxa" w:w="1440"/>
            <w:tcMar>
              <w:top w:w="70" w:type="dxa"/>
              <w:start w:w="90" w:type="dxa"/>
              <w:bottom w:w="70" w:type="dxa"/>
              <w:end w:w="90" w:type="dxa"/>
            </w:tcMar>
            <w:vAlign w:val="top"/>
            <w:shd w:fill="F3F6FA"/>
          </w:tcPr>
          <w:p>
            <w:pPr>
              <w:spacing w:after="0"/>
            </w:pPr>
            <w:r/>
            <w:r>
              <w:rPr>
                <w:rFonts w:ascii="Carlito" w:hAnsi="Carlito"/>
                <w:sz w:val="18"/>
              </w:rPr>
              <w:t>2040</w:t>
            </w:r>
          </w:p>
        </w:tc>
        <w:tc>
          <w:tcPr>
            <w:tcW w:type="dxa" w:w="2088"/>
            <w:tcMar>
              <w:top w:w="70" w:type="dxa"/>
              <w:start w:w="90" w:type="dxa"/>
              <w:bottom w:w="70" w:type="dxa"/>
              <w:end w:w="90" w:type="dxa"/>
            </w:tcMar>
            <w:vAlign w:val="top"/>
            <w:shd w:fill="F3F6FA"/>
          </w:tcPr>
          <w:p>
            <w:pPr>
              <w:spacing w:after="0"/>
            </w:pPr>
            <w:r/>
            <w:r>
              <w:rPr>
                <w:rFonts w:ascii="Carlito" w:hAnsi="Carlito"/>
                <w:sz w:val="18"/>
              </w:rPr>
              <w:t>0.7%</w:t>
            </w:r>
          </w:p>
        </w:tc>
        <w:tc>
          <w:tcPr>
            <w:tcW w:type="dxa" w:w="2232"/>
            <w:tcMar>
              <w:top w:w="70" w:type="dxa"/>
              <w:start w:w="90" w:type="dxa"/>
              <w:bottom w:w="70" w:type="dxa"/>
              <w:end w:w="90" w:type="dxa"/>
            </w:tcMar>
            <w:vAlign w:val="top"/>
            <w:shd w:fill="F3F6FA"/>
          </w:tcPr>
          <w:p>
            <w:pPr>
              <w:spacing w:after="0"/>
            </w:pPr>
            <w:r/>
            <w:r>
              <w:rPr>
                <w:rFonts w:ascii="Carlito" w:hAnsi="Carlito"/>
                <w:sz w:val="18"/>
              </w:rPr>
              <w:t>1.9%</w:t>
            </w:r>
          </w:p>
        </w:tc>
        <w:tc>
          <w:tcPr>
            <w:tcW w:type="dxa" w:w="2232"/>
            <w:tcMar>
              <w:top w:w="70" w:type="dxa"/>
              <w:start w:w="90" w:type="dxa"/>
              <w:bottom w:w="70" w:type="dxa"/>
              <w:end w:w="90" w:type="dxa"/>
            </w:tcMar>
            <w:vAlign w:val="top"/>
            <w:shd w:fill="F3F6FA"/>
          </w:tcPr>
          <w:p>
            <w:pPr>
              <w:spacing w:after="0"/>
            </w:pPr>
            <w:r/>
            <w:r>
              <w:rPr>
                <w:rFonts w:ascii="Carlito" w:hAnsi="Carlito"/>
                <w:sz w:val="18"/>
              </w:rPr>
              <w:t>10.3%</w:t>
            </w:r>
          </w:p>
        </w:tc>
        <w:tc>
          <w:tcPr>
            <w:tcW w:type="dxa" w:w="2088"/>
            <w:tcMar>
              <w:top w:w="70" w:type="dxa"/>
              <w:start w:w="90" w:type="dxa"/>
              <w:bottom w:w="70" w:type="dxa"/>
              <w:end w:w="90" w:type="dxa"/>
            </w:tcMar>
            <w:vAlign w:val="top"/>
            <w:shd w:fill="F3F6FA"/>
          </w:tcPr>
          <w:p>
            <w:pPr>
              <w:spacing w:after="0"/>
            </w:pPr>
            <w:r/>
            <w:r>
              <w:rPr>
                <w:rFonts w:ascii="Carlito" w:hAnsi="Carlito"/>
                <w:sz w:val="18"/>
              </w:rPr>
              <w:t>87.1%</w:t>
            </w:r>
          </w:p>
        </w:tc>
      </w:tr>
      <w:tr>
        <w:trPr>
          <w:cantSplit/>
        </w:trPr>
        <w:tc>
          <w:tcPr>
            <w:tcW w:type="dxa" w:w="1440"/>
            <w:tcMar>
              <w:top w:w="70" w:type="dxa"/>
              <w:start w:w="90" w:type="dxa"/>
              <w:bottom w:w="70" w:type="dxa"/>
              <w:end w:w="90" w:type="dxa"/>
            </w:tcMar>
            <w:vAlign w:val="top"/>
          </w:tcPr>
          <w:p>
            <w:pPr>
              <w:spacing w:after="0"/>
            </w:pPr>
            <w:r/>
            <w:r>
              <w:rPr>
                <w:rFonts w:ascii="Carlito" w:hAnsi="Carlito"/>
                <w:sz w:val="18"/>
              </w:rPr>
              <w:t>2050</w:t>
            </w:r>
          </w:p>
        </w:tc>
        <w:tc>
          <w:tcPr>
            <w:tcW w:type="dxa" w:w="2088"/>
            <w:tcMar>
              <w:top w:w="70" w:type="dxa"/>
              <w:start w:w="90" w:type="dxa"/>
              <w:bottom w:w="70" w:type="dxa"/>
              <w:end w:w="90" w:type="dxa"/>
            </w:tcMar>
            <w:vAlign w:val="top"/>
          </w:tcPr>
          <w:p>
            <w:pPr>
              <w:spacing w:after="0"/>
            </w:pPr>
            <w:r/>
            <w:r>
              <w:rPr>
                <w:rFonts w:ascii="Carlito" w:hAnsi="Carlito"/>
                <w:sz w:val="18"/>
              </w:rPr>
              <w:t>1.4%</w:t>
            </w:r>
          </w:p>
        </w:tc>
        <w:tc>
          <w:tcPr>
            <w:tcW w:type="dxa" w:w="2232"/>
            <w:tcMar>
              <w:top w:w="70" w:type="dxa"/>
              <w:start w:w="90" w:type="dxa"/>
              <w:bottom w:w="70" w:type="dxa"/>
              <w:end w:w="90" w:type="dxa"/>
            </w:tcMar>
            <w:vAlign w:val="top"/>
          </w:tcPr>
          <w:p>
            <w:pPr>
              <w:spacing w:after="0"/>
            </w:pPr>
            <w:r/>
            <w:r>
              <w:rPr>
                <w:rFonts w:ascii="Carlito" w:hAnsi="Carlito"/>
                <w:sz w:val="18"/>
              </w:rPr>
              <w:t>0.6%</w:t>
            </w:r>
          </w:p>
        </w:tc>
        <w:tc>
          <w:tcPr>
            <w:tcW w:type="dxa" w:w="2232"/>
            <w:tcMar>
              <w:top w:w="70" w:type="dxa"/>
              <w:start w:w="90" w:type="dxa"/>
              <w:bottom w:w="70" w:type="dxa"/>
              <w:end w:w="90" w:type="dxa"/>
            </w:tcMar>
            <w:vAlign w:val="top"/>
          </w:tcPr>
          <w:p>
            <w:pPr>
              <w:spacing w:after="0"/>
            </w:pPr>
            <w:r/>
            <w:r>
              <w:rPr>
                <w:rFonts w:ascii="Carlito" w:hAnsi="Carlito"/>
                <w:sz w:val="18"/>
              </w:rPr>
              <w:t>3.6%</w:t>
            </w:r>
          </w:p>
        </w:tc>
        <w:tc>
          <w:tcPr>
            <w:tcW w:type="dxa" w:w="2088"/>
            <w:tcMar>
              <w:top w:w="70" w:type="dxa"/>
              <w:start w:w="90" w:type="dxa"/>
              <w:bottom w:w="70" w:type="dxa"/>
              <w:end w:w="90" w:type="dxa"/>
            </w:tcMar>
            <w:vAlign w:val="top"/>
          </w:tcPr>
          <w:p>
            <w:pPr>
              <w:spacing w:after="0"/>
            </w:pPr>
            <w:r/>
            <w:r>
              <w:rPr>
                <w:rFonts w:ascii="Carlito" w:hAnsi="Carlito"/>
                <w:sz w:val="18"/>
              </w:rPr>
              <w:t>94.4%</w:t>
            </w:r>
          </w:p>
        </w:tc>
      </w:tr>
    </w:tbl>
    <w:p>
      <w:pPr>
        <w:spacing w:after="20"/>
      </w:pPr>
    </w:p>
    <w:p>
      <w:pPr>
        <w:spacing w:after="100" w:before="0" w:line="259" w:lineRule="auto"/>
      </w:pPr>
      <w:r>
        <w:rPr>
          <w:rFonts w:ascii="Carlito" w:hAnsi="Carlito"/>
        </w:rPr>
        <w:t>These are posture-weighted scenario probabilities. They are not weather forecasts or actuarial frequencies. They combine the inherited conditional Grey Swan scenarios with the new v12 assessment of how likely the world is to follow DTR or LIR.</w:t>
      </w:r>
    </w:p>
    <w:tbl>
      <w:tblPr>
        <w:tblStyle w:val="TableGrid"/>
        <w:tblW w:type="auto" w:w="0"/>
        <w:jc w:val="center"/>
        <w:tblLook w:firstColumn="1" w:firstRow="1" w:lastColumn="0" w:lastRow="0" w:noHBand="0" w:noVBand="1" w:val="04A0"/>
      </w:tblPr>
      <w:tblGrid>
        <w:gridCol w:w="10051"/>
      </w:tblGrid>
      <w:tr>
        <w:trPr>
          <w:cantSplit/>
        </w:trPr>
        <w:tc>
          <w:tcPr>
            <w:tcW w:type="dxa" w:w="10051"/>
            <w:shd w:fill="FFF2CC"/>
            <w:tcMar>
              <w:top w:w="120" w:type="dxa"/>
              <w:start w:w="160" w:type="dxa"/>
              <w:bottom w:w="120" w:type="dxa"/>
              <w:end w:w="160" w:type="dxa"/>
            </w:tcMar>
          </w:tcPr>
          <w:p>
            <w:pPr>
              <w:spacing w:after="60"/>
            </w:pPr>
            <w:r>
              <w:rPr>
                <w:rFonts w:ascii="Carlito" w:hAnsi="Carlito"/>
                <w:b/>
                <w:color w:val="17365D"/>
                <w:sz w:val="22"/>
              </w:rPr>
              <w:t>What “Lost Control” means</w:t>
            </w:r>
          </w:p>
          <w:p>
            <w:pPr>
              <w:spacing w:after="0" w:line="259" w:lineRule="auto"/>
            </w:pPr>
            <w:r>
              <w:rPr>
                <w:rFonts w:ascii="Carlito" w:hAnsi="Carlito"/>
                <w:sz w:val="20"/>
              </w:rPr>
              <w:t>Lost Control does not mean killer robots or overnight social collapse. In Grey Swan it means a system in which problems increasingly outrun institutional capacity: adjustment becomes slower and more expensive, gains concentrate, labor-market pathways weaken, trust erodes, and governments spend more time reacting to shocks than shaping the transition.</w:t>
            </w:r>
          </w:p>
        </w:tc>
      </w:tr>
    </w:tbl>
    <w:p>
      <w:pPr>
        <w:spacing w:after="20"/>
      </w:pPr>
    </w:p>
    <w:p>
      <w:pPr>
        <w:spacing w:after="100" w:before="0" w:line="259" w:lineRule="auto"/>
      </w:pPr>
      <w:r>
        <w:rPr>
          <w:rFonts w:ascii="Carlito" w:hAnsi="Carlito"/>
        </w:rPr>
        <w:t>The main conclusion is therefore less dramatic than the headline number and more worrying in practice. Productive capability is still rising. What is not keeping pace is the institutional capacity to steer that capability, distribute the benefits and maintain legitimacy.</w:t>
      </w:r>
    </w:p>
    <w:p>
      <w:pPr>
        <w:spacing w:before="120" w:after="160"/>
        <w:ind w:left="504" w:right="504"/>
      </w:pPr>
      <w:r>
        <w:rPr>
          <w:rFonts w:ascii="Carlito" w:hAnsi="Carlito"/>
          <w:b/>
          <w:i/>
          <w:color w:val="17365D"/>
          <w:sz w:val="23"/>
        </w:rPr>
        <w:t>If you remember one thing: Grey Swan v12 does not say that AI progress is failing. It says that the social settlement around that progress is failing to keep up.</w:t>
      </w:r>
    </w:p>
    <w:p>
      <w:pPr>
        <w:pStyle w:val="Heading2"/>
        <w:spacing w:after="100" w:before="0" w:line="259" w:lineRule="auto"/>
      </w:pPr>
      <w:r>
        <w:rPr>
          <w:rFonts w:ascii="Carlito" w:hAnsi="Carlito"/>
        </w:rPr>
        <w:t>What would improve the outlook?</w:t>
      </w:r>
    </w:p>
    <w:p>
      <w:pPr>
        <w:pStyle w:val="ListBullet"/>
        <w:spacing w:after="40" w:line="252" w:lineRule="auto"/>
      </w:pPr>
      <w:r>
        <w:rPr>
          <w:rFonts w:ascii="Carlito" w:hAnsi="Carlito"/>
        </w:rPr>
        <w:t>Productivity growth that is visibly accompanied by rising household security and labor share, not just higher profits and valuations.</w:t>
      </w:r>
    </w:p>
    <w:p>
      <w:pPr>
        <w:pStyle w:val="ListBullet"/>
        <w:spacing w:after="40" w:line="252" w:lineRule="auto"/>
      </w:pPr>
      <w:r>
        <w:rPr>
          <w:rFonts w:ascii="Carlito" w:hAnsi="Carlito"/>
        </w:rPr>
        <w:t>Broader access to productive AI compute for universities, SMEs, public-interest projects and countries outside the current frontier hubs.</w:t>
      </w:r>
    </w:p>
    <w:p>
      <w:pPr>
        <w:pStyle w:val="ListBullet"/>
        <w:spacing w:after="40" w:line="252" w:lineRule="auto"/>
      </w:pPr>
      <w:r>
        <w:rPr>
          <w:rFonts w:ascii="Carlito" w:hAnsi="Carlito"/>
        </w:rPr>
        <w:t>Implemented AI accountability, provenance, audit and appeal systems spreading beyond a small number of jurisdictions.</w:t>
      </w:r>
    </w:p>
    <w:p>
      <w:pPr>
        <w:pStyle w:val="ListBullet"/>
        <w:spacing w:after="40" w:line="252" w:lineRule="auto"/>
      </w:pPr>
      <w:r>
        <w:rPr>
          <w:rFonts w:ascii="Carlito" w:hAnsi="Carlito"/>
        </w:rPr>
        <w:t>Education systems moving from casual AI use toward real teacher capability and redesigned assessment.</w:t>
      </w:r>
    </w:p>
    <w:p>
      <w:pPr>
        <w:pStyle w:val="ListBullet"/>
        <w:spacing w:after="40" w:line="252" w:lineRule="auto"/>
      </w:pPr>
      <w:r>
        <w:rPr>
          <w:rFonts w:ascii="Carlito" w:hAnsi="Carlito"/>
        </w:rPr>
        <w:t>Operational international coordination that can actually resolve supply, safety and infrastructure problems, not only issue declarations.</w:t>
      </w:r>
    </w:p>
    <w:p>
      <w:pPr>
        <w:pStyle w:val="ListBullet"/>
        <w:spacing w:after="40" w:line="252" w:lineRule="auto"/>
      </w:pPr>
      <w:r>
        <w:rPr>
          <w:rFonts w:ascii="Carlito" w:hAnsi="Carlito"/>
        </w:rPr>
        <w:t>Sustained improvement in institutional effectiveness, integrity, civic freedom and public trust.</w:t>
      </w:r>
    </w:p>
    <w:p>
      <w:pPr>
        <w:pStyle w:val="Heading1"/>
        <w:spacing w:after="100" w:before="0" w:line="259" w:lineRule="auto"/>
      </w:pPr>
      <w:r>
        <w:rPr>
          <w:rFonts w:ascii="Carlito" w:hAnsi="Carlito"/>
        </w:rPr>
        <w:t>1. Purpose and status of this report</w:t>
      </w:r>
    </w:p>
    <w:p>
      <w:pPr>
        <w:spacing w:after="100" w:before="0" w:line="259" w:lineRule="auto"/>
      </w:pPr>
      <w:r>
        <w:rPr>
          <w:rFonts w:ascii="Carlito" w:hAnsi="Carlito"/>
        </w:rPr>
        <w:t>This report is the first formal baseline exercise under the frozen Grey Swan / Archimedes v12.0 architecture. It follows the closing Autumn 2026 run of v11.9 and uses a strict evidence cutoff of 5 September 2026. The full methodological change note from v11.9 to v12.0 is reproduced as Appendix A.</w:t>
      </w:r>
    </w:p>
    <w:p>
      <w:pPr>
        <w:spacing w:after="100" w:before="0" w:line="259" w:lineRule="auto"/>
      </w:pPr>
      <w:r>
        <w:rPr>
          <w:rFonts w:ascii="Carlito" w:hAnsi="Carlito"/>
        </w:rPr>
        <w:t>The report has two purposes. First, it establishes baseline readings for the revised v12 evidence architecture. Second, it initializes the new Posture Likelihood layer, which estimates how likely the world is to follow the DTR or LIR posture before combining those posture probabilities with the existing conditional outcome scenarios.</w:t>
      </w:r>
    </w:p>
    <w:tbl>
      <w:tblPr>
        <w:tblStyle w:val="TableGrid"/>
        <w:tblW w:type="auto" w:w="0"/>
        <w:jc w:val="center"/>
        <w:tblLook w:firstColumn="1" w:firstRow="1" w:lastColumn="0" w:lastRow="0" w:noHBand="0" w:noVBand="1" w:val="04A0"/>
      </w:tblPr>
      <w:tblGrid>
        <w:gridCol w:w="10051"/>
      </w:tblGrid>
      <w:tr>
        <w:trPr>
          <w:cantSplit/>
        </w:trPr>
        <w:tc>
          <w:tcPr>
            <w:tcW w:type="dxa" w:w="10051"/>
            <w:shd w:fill="D9EAF7"/>
            <w:tcMar>
              <w:top w:w="120" w:type="dxa"/>
              <w:start w:w="160" w:type="dxa"/>
              <w:bottom w:w="120" w:type="dxa"/>
              <w:end w:w="160" w:type="dxa"/>
            </w:tcMar>
          </w:tcPr>
          <w:p>
            <w:pPr>
              <w:spacing w:after="60"/>
            </w:pPr>
            <w:r>
              <w:rPr>
                <w:rFonts w:ascii="Carlito" w:hAnsi="Carlito"/>
                <w:b/>
                <w:color w:val="17365D"/>
                <w:sz w:val="22"/>
              </w:rPr>
              <w:t>Transition rule</w:t>
            </w:r>
          </w:p>
          <w:p>
            <w:pPr>
              <w:spacing w:after="0" w:line="259" w:lineRule="auto"/>
            </w:pPr>
            <w:r>
              <w:rPr>
                <w:rFonts w:ascii="Carlito" w:hAnsi="Carlito"/>
                <w:sz w:val="20"/>
              </w:rPr>
              <w:t>R1 is not permitted to reprice the inherited DTR/LIR conditional outcome probabilities simply because v12 uses better indicators. New and replacement indicators establish baselines first. The first ordinary v12 update can move conditional probabilities only when persistence and corroboration are subsequently established.</w:t>
            </w:r>
          </w:p>
        </w:tc>
      </w:tr>
    </w:tbl>
    <w:p>
      <w:pPr>
        <w:spacing w:after="20"/>
      </w:pPr>
    </w:p>
    <w:p>
      <w:pPr>
        <w:pStyle w:val="Heading1"/>
        <w:spacing w:after="100" w:before="0" w:line="259" w:lineRule="auto"/>
      </w:pPr>
      <w:r>
        <w:rPr>
          <w:rFonts w:ascii="Carlito" w:hAnsi="Carlito"/>
        </w:rPr>
        <w:t>2. What Grey Swan v12 measures</w:t>
      </w:r>
    </w:p>
    <w:p>
      <w:pPr>
        <w:spacing w:after="100" w:before="0" w:line="259" w:lineRule="auto"/>
      </w:pPr>
      <w:r>
        <w:rPr>
          <w:rFonts w:ascii="Carlito" w:hAnsi="Carlito"/>
        </w:rPr>
        <w:t>Grey Swan is a governed scenario framework rather than a point forecast. It starts from two alternative policy postures and asks what system outcomes become plausible under each. The framework retains the original four outcomes: Full Empowerment, Managed Disruption, Uneven Transition and Lost Control. It also retains the six Archimedes levers: energy and grids; health security and workforce; education and skills; trust and information integrity; treaty-lite coordination and supply security; and compute and AI access. Climate remains cross-cutting, and the Wealth-Diffusion Gate remains binding.</w:t>
      </w:r>
    </w:p>
    <w:p>
      <w:pPr>
        <w:spacing w:after="100" w:before="0" w:line="259" w:lineRule="auto"/>
      </w:pPr>
      <w:r>
        <w:rPr>
          <w:rFonts w:ascii="Carlito" w:hAnsi="Carlito"/>
        </w:rPr>
        <w:t>v12 adds three features that matter for interpretation. It restores a Structural Trust Basket, makes economic growth and labor productivity explicit through a Macro Performance Panel, and adds the Posture Likelihood layer. The purpose is not to add more indicators. It is to distinguish more clearly between productive capability, institutional capacity and shared participation.</w:t>
      </w:r>
    </w:p>
    <w:p>
      <w:pPr>
        <w:pStyle w:val="Heading1"/>
        <w:spacing w:after="100" w:before="0" w:line="259" w:lineRule="auto"/>
      </w:pPr>
      <w:r>
        <w:rPr>
          <w:rFonts w:ascii="Carlito" w:hAnsi="Carlito"/>
        </w:rPr>
        <w:t>3. Inherited conditional outcome probabilities</w:t>
      </w:r>
    </w:p>
    <w:p>
      <w:pPr>
        <w:spacing w:after="100" w:before="0" w:line="259" w:lineRule="auto"/>
      </w:pPr>
      <w:r>
        <w:rPr>
          <w:rFonts w:ascii="Carlito" w:hAnsi="Carlito"/>
        </w:rPr>
        <w:t>The v12 transition rule carries forward the closing v11.9 conditional probabilities unchanged. These remain the answer to the question: what happens if leaders adopt DTR, and what happens if they adopt LIR?</w:t>
      </w:r>
    </w:p>
    <w:tbl>
      <w:tblPr>
        <w:tblStyle w:val="TableGrid"/>
        <w:tblW w:type="auto" w:w="0"/>
        <w:jc w:val="center"/>
        <w:tblLayout w:type="autofit"/>
        <w:tblLook w:firstColumn="1" w:firstRow="1" w:lastColumn="0" w:lastRow="0" w:noHBand="0" w:noVBand="1" w:val="04A0"/>
      </w:tblPr>
      <w:tblGrid>
        <w:gridCol w:w="1675"/>
        <w:gridCol w:w="1675"/>
        <w:gridCol w:w="1675"/>
        <w:gridCol w:w="1675"/>
        <w:gridCol w:w="1675"/>
        <w:gridCol w:w="1675"/>
      </w:tblGrid>
      <w:tr>
        <w:trPr>
          <w:tblHeader w:val="true"/>
          <w:cantSplit/>
        </w:trPr>
        <w:tc>
          <w:tcPr>
            <w:tcW w:type="dxa" w:w="1296"/>
            <w:shd w:fill="17365D"/>
            <w:tcMar>
              <w:top w:w="70" w:type="dxa"/>
              <w:start w:w="90" w:type="dxa"/>
              <w:bottom w:w="70" w:type="dxa"/>
              <w:end w:w="90" w:type="dxa"/>
            </w:tcMar>
            <w:vAlign w:val="center"/>
          </w:tcPr>
          <w:p>
            <w:pPr>
              <w:spacing w:after="0"/>
            </w:pPr>
            <w:r/>
            <w:r>
              <w:rPr>
                <w:rFonts w:ascii="Carlito" w:hAnsi="Carlito"/>
                <w:b/>
                <w:color w:val="FFFFFF"/>
                <w:sz w:val="18"/>
              </w:rPr>
              <w:t>Horizon</w:t>
            </w:r>
          </w:p>
        </w:tc>
        <w:tc>
          <w:tcPr>
            <w:tcW w:type="dxa" w:w="1440"/>
            <w:shd w:fill="17365D"/>
            <w:tcMar>
              <w:top w:w="70" w:type="dxa"/>
              <w:start w:w="90" w:type="dxa"/>
              <w:bottom w:w="70" w:type="dxa"/>
              <w:end w:w="90" w:type="dxa"/>
            </w:tcMar>
            <w:vAlign w:val="center"/>
          </w:tcPr>
          <w:p>
            <w:pPr>
              <w:spacing w:after="0"/>
            </w:pPr>
            <w:r/>
            <w:r>
              <w:rPr>
                <w:rFonts w:ascii="Carlito" w:hAnsi="Carlito"/>
                <w:b/>
                <w:color w:val="FFFFFF"/>
                <w:sz w:val="18"/>
              </w:rPr>
              <w:t>Posture</w:t>
            </w:r>
          </w:p>
        </w:tc>
        <w:tc>
          <w:tcPr>
            <w:tcW w:type="dxa" w:w="1152"/>
            <w:shd w:fill="17365D"/>
            <w:tcMar>
              <w:top w:w="70" w:type="dxa"/>
              <w:start w:w="90" w:type="dxa"/>
              <w:bottom w:w="70" w:type="dxa"/>
              <w:end w:w="90" w:type="dxa"/>
            </w:tcMar>
            <w:vAlign w:val="center"/>
          </w:tcPr>
          <w:p>
            <w:pPr>
              <w:spacing w:after="0"/>
            </w:pPr>
            <w:r/>
            <w:r>
              <w:rPr>
                <w:rFonts w:ascii="Carlito" w:hAnsi="Carlito"/>
                <w:b/>
                <w:color w:val="FFFFFF"/>
                <w:sz w:val="18"/>
              </w:rPr>
              <w:t>FE</w:t>
            </w:r>
          </w:p>
        </w:tc>
        <w:tc>
          <w:tcPr>
            <w:tcW w:type="dxa" w:w="1152"/>
            <w:shd w:fill="17365D"/>
            <w:tcMar>
              <w:top w:w="70" w:type="dxa"/>
              <w:start w:w="90" w:type="dxa"/>
              <w:bottom w:w="70" w:type="dxa"/>
              <w:end w:w="90" w:type="dxa"/>
            </w:tcMar>
            <w:vAlign w:val="center"/>
          </w:tcPr>
          <w:p>
            <w:pPr>
              <w:spacing w:after="0"/>
            </w:pPr>
            <w:r/>
            <w:r>
              <w:rPr>
                <w:rFonts w:ascii="Carlito" w:hAnsi="Carlito"/>
                <w:b/>
                <w:color w:val="FFFFFF"/>
                <w:sz w:val="18"/>
              </w:rPr>
              <w:t>MD</w:t>
            </w:r>
          </w:p>
        </w:tc>
        <w:tc>
          <w:tcPr>
            <w:tcW w:type="dxa" w:w="1152"/>
            <w:shd w:fill="17365D"/>
            <w:tcMar>
              <w:top w:w="70" w:type="dxa"/>
              <w:start w:w="90" w:type="dxa"/>
              <w:bottom w:w="70" w:type="dxa"/>
              <w:end w:w="90" w:type="dxa"/>
            </w:tcMar>
            <w:vAlign w:val="center"/>
          </w:tcPr>
          <w:p>
            <w:pPr>
              <w:spacing w:after="0"/>
            </w:pPr>
            <w:r/>
            <w:r>
              <w:rPr>
                <w:rFonts w:ascii="Carlito" w:hAnsi="Carlito"/>
                <w:b/>
                <w:color w:val="FFFFFF"/>
                <w:sz w:val="18"/>
              </w:rPr>
              <w:t>UT</w:t>
            </w:r>
          </w:p>
        </w:tc>
        <w:tc>
          <w:tcPr>
            <w:tcW w:type="dxa" w:w="1152"/>
            <w:shd w:fill="17365D"/>
            <w:tcMar>
              <w:top w:w="70" w:type="dxa"/>
              <w:start w:w="90" w:type="dxa"/>
              <w:bottom w:w="70" w:type="dxa"/>
              <w:end w:w="90" w:type="dxa"/>
            </w:tcMar>
            <w:vAlign w:val="center"/>
          </w:tcPr>
          <w:p>
            <w:pPr>
              <w:spacing w:after="0"/>
            </w:pPr>
            <w:r/>
            <w:r>
              <w:rPr>
                <w:rFonts w:ascii="Carlito" w:hAnsi="Carlito"/>
                <w:b/>
                <w:color w:val="FFFFFF"/>
                <w:sz w:val="18"/>
              </w:rPr>
              <w:t>LC</w:t>
            </w:r>
          </w:p>
        </w:tc>
      </w:tr>
      <w:tr>
        <w:trPr>
          <w:cantSplit/>
        </w:trPr>
        <w:tc>
          <w:tcPr>
            <w:tcW w:type="dxa" w:w="1296"/>
            <w:tcMar>
              <w:top w:w="70" w:type="dxa"/>
              <w:start w:w="90" w:type="dxa"/>
              <w:bottom w:w="70" w:type="dxa"/>
              <w:end w:w="90" w:type="dxa"/>
            </w:tcMar>
            <w:vAlign w:val="top"/>
          </w:tcPr>
          <w:p>
            <w:pPr>
              <w:spacing w:after="0"/>
            </w:pPr>
            <w:r/>
            <w:r>
              <w:rPr>
                <w:rFonts w:ascii="Carlito" w:hAnsi="Carlito"/>
                <w:sz w:val="18"/>
              </w:rPr>
              <w:t>2030</w:t>
            </w:r>
          </w:p>
        </w:tc>
        <w:tc>
          <w:tcPr>
            <w:tcW w:type="dxa" w:w="1440"/>
            <w:tcMar>
              <w:top w:w="70" w:type="dxa"/>
              <w:start w:w="90" w:type="dxa"/>
              <w:bottom w:w="70" w:type="dxa"/>
              <w:end w:w="90" w:type="dxa"/>
            </w:tcMar>
            <w:vAlign w:val="top"/>
          </w:tcPr>
          <w:p>
            <w:pPr>
              <w:spacing w:after="0"/>
            </w:pPr>
            <w:r/>
            <w:r>
              <w:rPr>
                <w:rFonts w:ascii="Carlito" w:hAnsi="Carlito"/>
                <w:sz w:val="18"/>
              </w:rPr>
              <w:t>DTR</w:t>
            </w:r>
          </w:p>
        </w:tc>
        <w:tc>
          <w:tcPr>
            <w:tcW w:type="dxa" w:w="1152"/>
            <w:tcMar>
              <w:top w:w="70" w:type="dxa"/>
              <w:start w:w="90" w:type="dxa"/>
              <w:bottom w:w="70" w:type="dxa"/>
              <w:end w:w="90" w:type="dxa"/>
            </w:tcMar>
            <w:vAlign w:val="top"/>
          </w:tcPr>
          <w:p>
            <w:pPr>
              <w:spacing w:after="0"/>
            </w:pPr>
            <w:r/>
            <w:r>
              <w:rPr>
                <w:rFonts w:ascii="Carlito" w:hAnsi="Carlito"/>
                <w:sz w:val="18"/>
              </w:rPr>
              <w:t>3%</w:t>
            </w:r>
          </w:p>
        </w:tc>
        <w:tc>
          <w:tcPr>
            <w:tcW w:type="dxa" w:w="1152"/>
            <w:tcMar>
              <w:top w:w="70" w:type="dxa"/>
              <w:start w:w="90" w:type="dxa"/>
              <w:bottom w:w="70" w:type="dxa"/>
              <w:end w:w="90" w:type="dxa"/>
            </w:tcMar>
            <w:vAlign w:val="top"/>
          </w:tcPr>
          <w:p>
            <w:pPr>
              <w:spacing w:after="0"/>
            </w:pPr>
            <w:r/>
            <w:r>
              <w:rPr>
                <w:rFonts w:ascii="Carlito" w:hAnsi="Carlito"/>
                <w:sz w:val="18"/>
              </w:rPr>
              <w:t>18%</w:t>
            </w:r>
          </w:p>
        </w:tc>
        <w:tc>
          <w:tcPr>
            <w:tcW w:type="dxa" w:w="1152"/>
            <w:tcMar>
              <w:top w:w="70" w:type="dxa"/>
              <w:start w:w="90" w:type="dxa"/>
              <w:bottom w:w="70" w:type="dxa"/>
              <w:end w:w="90" w:type="dxa"/>
            </w:tcMar>
            <w:vAlign w:val="top"/>
          </w:tcPr>
          <w:p>
            <w:pPr>
              <w:spacing w:after="0"/>
            </w:pPr>
            <w:r/>
            <w:r>
              <w:rPr>
                <w:rFonts w:ascii="Carlito" w:hAnsi="Carlito"/>
                <w:sz w:val="18"/>
              </w:rPr>
              <w:t>57%</w:t>
            </w:r>
          </w:p>
        </w:tc>
        <w:tc>
          <w:tcPr>
            <w:tcW w:type="dxa" w:w="1152"/>
            <w:tcMar>
              <w:top w:w="70" w:type="dxa"/>
              <w:start w:w="90" w:type="dxa"/>
              <w:bottom w:w="70" w:type="dxa"/>
              <w:end w:w="90" w:type="dxa"/>
            </w:tcMar>
            <w:vAlign w:val="top"/>
          </w:tcPr>
          <w:p>
            <w:pPr>
              <w:spacing w:after="0"/>
            </w:pPr>
            <w:r/>
            <w:r>
              <w:rPr>
                <w:rFonts w:ascii="Carlito" w:hAnsi="Carlito"/>
                <w:sz w:val="18"/>
              </w:rPr>
              <w:t>22%</w:t>
            </w:r>
          </w:p>
        </w:tc>
      </w:tr>
      <w:tr>
        <w:trPr>
          <w:cantSplit/>
        </w:trPr>
        <w:tc>
          <w:tcPr>
            <w:tcW w:type="dxa" w:w="1296"/>
            <w:tcMar>
              <w:top w:w="70" w:type="dxa"/>
              <w:start w:w="90" w:type="dxa"/>
              <w:bottom w:w="70" w:type="dxa"/>
              <w:end w:w="90" w:type="dxa"/>
            </w:tcMar>
            <w:vAlign w:val="top"/>
            <w:shd w:fill="F3F6FA"/>
          </w:tcPr>
          <w:p>
            <w:pPr>
              <w:spacing w:after="0"/>
            </w:pPr>
            <w:r/>
            <w:r>
              <w:rPr>
                <w:rFonts w:ascii="Carlito" w:hAnsi="Carlito"/>
                <w:sz w:val="18"/>
              </w:rPr>
              <w:t>2030</w:t>
            </w:r>
          </w:p>
        </w:tc>
        <w:tc>
          <w:tcPr>
            <w:tcW w:type="dxa" w:w="1440"/>
            <w:tcMar>
              <w:top w:w="70" w:type="dxa"/>
              <w:start w:w="90" w:type="dxa"/>
              <w:bottom w:w="70" w:type="dxa"/>
              <w:end w:w="90" w:type="dxa"/>
            </w:tcMar>
            <w:vAlign w:val="top"/>
            <w:shd w:fill="F3F6FA"/>
          </w:tcPr>
          <w:p>
            <w:pPr>
              <w:spacing w:after="0"/>
            </w:pPr>
            <w:r/>
            <w:r>
              <w:rPr>
                <w:rFonts w:ascii="Carlito" w:hAnsi="Carlito"/>
                <w:sz w:val="18"/>
              </w:rPr>
              <w:t>LIR</w:t>
            </w:r>
          </w:p>
        </w:tc>
        <w:tc>
          <w:tcPr>
            <w:tcW w:type="dxa" w:w="1152"/>
            <w:tcMar>
              <w:top w:w="70" w:type="dxa"/>
              <w:start w:w="90" w:type="dxa"/>
              <w:bottom w:w="70" w:type="dxa"/>
              <w:end w:w="90" w:type="dxa"/>
            </w:tcMar>
            <w:vAlign w:val="top"/>
            <w:shd w:fill="F3F6FA"/>
          </w:tcPr>
          <w:p>
            <w:pPr>
              <w:spacing w:after="0"/>
            </w:pPr>
            <w:r/>
            <w:r>
              <w:rPr>
                <w:rFonts w:ascii="Carlito" w:hAnsi="Carlito"/>
                <w:sz w:val="18"/>
              </w:rPr>
              <w:t>0%</w:t>
            </w:r>
          </w:p>
        </w:tc>
        <w:tc>
          <w:tcPr>
            <w:tcW w:type="dxa" w:w="1152"/>
            <w:tcMar>
              <w:top w:w="70" w:type="dxa"/>
              <w:start w:w="90" w:type="dxa"/>
              <w:bottom w:w="70" w:type="dxa"/>
              <w:end w:w="90" w:type="dxa"/>
            </w:tcMar>
            <w:vAlign w:val="top"/>
            <w:shd w:fill="F3F6FA"/>
          </w:tcPr>
          <w:p>
            <w:pPr>
              <w:spacing w:after="0"/>
            </w:pPr>
            <w:r/>
            <w:r>
              <w:rPr>
                <w:rFonts w:ascii="Carlito" w:hAnsi="Carlito"/>
                <w:sz w:val="18"/>
              </w:rPr>
              <w:t>2%</w:t>
            </w:r>
          </w:p>
        </w:tc>
        <w:tc>
          <w:tcPr>
            <w:tcW w:type="dxa" w:w="1152"/>
            <w:tcMar>
              <w:top w:w="70" w:type="dxa"/>
              <w:start w:w="90" w:type="dxa"/>
              <w:bottom w:w="70" w:type="dxa"/>
              <w:end w:w="90" w:type="dxa"/>
            </w:tcMar>
            <w:vAlign w:val="top"/>
            <w:shd w:fill="F3F6FA"/>
          </w:tcPr>
          <w:p>
            <w:pPr>
              <w:spacing w:after="0"/>
            </w:pPr>
            <w:r/>
            <w:r>
              <w:rPr>
                <w:rFonts w:ascii="Carlito" w:hAnsi="Carlito"/>
                <w:sz w:val="18"/>
              </w:rPr>
              <w:t>22%</w:t>
            </w:r>
          </w:p>
        </w:tc>
        <w:tc>
          <w:tcPr>
            <w:tcW w:type="dxa" w:w="1152"/>
            <w:tcMar>
              <w:top w:w="70" w:type="dxa"/>
              <w:start w:w="90" w:type="dxa"/>
              <w:bottom w:w="70" w:type="dxa"/>
              <w:end w:w="90" w:type="dxa"/>
            </w:tcMar>
            <w:vAlign w:val="top"/>
            <w:shd w:fill="F3F6FA"/>
          </w:tcPr>
          <w:p>
            <w:pPr>
              <w:spacing w:after="0"/>
            </w:pPr>
            <w:r/>
            <w:r>
              <w:rPr>
                <w:rFonts w:ascii="Carlito" w:hAnsi="Carlito"/>
                <w:sz w:val="18"/>
              </w:rPr>
              <w:t>76%</w:t>
            </w:r>
          </w:p>
        </w:tc>
      </w:tr>
      <w:tr>
        <w:trPr>
          <w:cantSplit/>
        </w:trPr>
        <w:tc>
          <w:tcPr>
            <w:tcW w:type="dxa" w:w="1296"/>
            <w:tcMar>
              <w:top w:w="70" w:type="dxa"/>
              <w:start w:w="90" w:type="dxa"/>
              <w:bottom w:w="70" w:type="dxa"/>
              <w:end w:w="90" w:type="dxa"/>
            </w:tcMar>
            <w:vAlign w:val="top"/>
          </w:tcPr>
          <w:p>
            <w:pPr>
              <w:spacing w:after="0"/>
            </w:pPr>
            <w:r/>
            <w:r>
              <w:rPr>
                <w:rFonts w:ascii="Carlito" w:hAnsi="Carlito"/>
                <w:sz w:val="18"/>
              </w:rPr>
              <w:t>2040</w:t>
            </w:r>
          </w:p>
        </w:tc>
        <w:tc>
          <w:tcPr>
            <w:tcW w:type="dxa" w:w="1440"/>
            <w:tcMar>
              <w:top w:w="70" w:type="dxa"/>
              <w:start w:w="90" w:type="dxa"/>
              <w:bottom w:w="70" w:type="dxa"/>
              <w:end w:w="90" w:type="dxa"/>
            </w:tcMar>
            <w:vAlign w:val="top"/>
          </w:tcPr>
          <w:p>
            <w:pPr>
              <w:spacing w:after="0"/>
            </w:pPr>
            <w:r/>
            <w:r>
              <w:rPr>
                <w:rFonts w:ascii="Carlito" w:hAnsi="Carlito"/>
                <w:sz w:val="18"/>
              </w:rPr>
              <w:t>DTR</w:t>
            </w:r>
          </w:p>
        </w:tc>
        <w:tc>
          <w:tcPr>
            <w:tcW w:type="dxa" w:w="1152"/>
            <w:tcMar>
              <w:top w:w="70" w:type="dxa"/>
              <w:start w:w="90" w:type="dxa"/>
              <w:bottom w:w="70" w:type="dxa"/>
              <w:end w:w="90" w:type="dxa"/>
            </w:tcMar>
            <w:vAlign w:val="top"/>
          </w:tcPr>
          <w:p>
            <w:pPr>
              <w:spacing w:after="0"/>
            </w:pPr>
            <w:r/>
            <w:r>
              <w:rPr>
                <w:rFonts w:ascii="Carlito" w:hAnsi="Carlito"/>
                <w:sz w:val="18"/>
              </w:rPr>
              <w:t>7%</w:t>
            </w:r>
          </w:p>
        </w:tc>
        <w:tc>
          <w:tcPr>
            <w:tcW w:type="dxa" w:w="1152"/>
            <w:tcMar>
              <w:top w:w="70" w:type="dxa"/>
              <w:start w:w="90" w:type="dxa"/>
              <w:bottom w:w="70" w:type="dxa"/>
              <w:end w:w="90" w:type="dxa"/>
            </w:tcMar>
            <w:vAlign w:val="top"/>
          </w:tcPr>
          <w:p>
            <w:pPr>
              <w:spacing w:after="0"/>
            </w:pPr>
            <w:r/>
            <w:r>
              <w:rPr>
                <w:rFonts w:ascii="Carlito" w:hAnsi="Carlito"/>
                <w:sz w:val="18"/>
              </w:rPr>
              <w:t>10%</w:t>
            </w:r>
          </w:p>
        </w:tc>
        <w:tc>
          <w:tcPr>
            <w:tcW w:type="dxa" w:w="1152"/>
            <w:tcMar>
              <w:top w:w="70" w:type="dxa"/>
              <w:start w:w="90" w:type="dxa"/>
              <w:bottom w:w="70" w:type="dxa"/>
              <w:end w:w="90" w:type="dxa"/>
            </w:tcMar>
            <w:vAlign w:val="top"/>
          </w:tcPr>
          <w:p>
            <w:pPr>
              <w:spacing w:after="0"/>
            </w:pPr>
            <w:r/>
            <w:r>
              <w:rPr>
                <w:rFonts w:ascii="Carlito" w:hAnsi="Carlito"/>
                <w:sz w:val="18"/>
              </w:rPr>
              <w:t>40%</w:t>
            </w:r>
          </w:p>
        </w:tc>
        <w:tc>
          <w:tcPr>
            <w:tcW w:type="dxa" w:w="1152"/>
            <w:tcMar>
              <w:top w:w="70" w:type="dxa"/>
              <w:start w:w="90" w:type="dxa"/>
              <w:bottom w:w="70" w:type="dxa"/>
              <w:end w:w="90" w:type="dxa"/>
            </w:tcMar>
            <w:vAlign w:val="top"/>
          </w:tcPr>
          <w:p>
            <w:pPr>
              <w:spacing w:after="0"/>
            </w:pPr>
            <w:r/>
            <w:r>
              <w:rPr>
                <w:rFonts w:ascii="Carlito" w:hAnsi="Carlito"/>
                <w:sz w:val="18"/>
              </w:rPr>
              <w:t>43%</w:t>
            </w:r>
          </w:p>
        </w:tc>
      </w:tr>
      <w:tr>
        <w:trPr>
          <w:cantSplit/>
        </w:trPr>
        <w:tc>
          <w:tcPr>
            <w:tcW w:type="dxa" w:w="1296"/>
            <w:tcMar>
              <w:top w:w="70" w:type="dxa"/>
              <w:start w:w="90" w:type="dxa"/>
              <w:bottom w:w="70" w:type="dxa"/>
              <w:end w:w="90" w:type="dxa"/>
            </w:tcMar>
            <w:vAlign w:val="top"/>
            <w:shd w:fill="F3F6FA"/>
          </w:tcPr>
          <w:p>
            <w:pPr>
              <w:spacing w:after="0"/>
            </w:pPr>
            <w:r/>
            <w:r>
              <w:rPr>
                <w:rFonts w:ascii="Carlito" w:hAnsi="Carlito"/>
                <w:sz w:val="18"/>
              </w:rPr>
              <w:t>2040</w:t>
            </w:r>
          </w:p>
        </w:tc>
        <w:tc>
          <w:tcPr>
            <w:tcW w:type="dxa" w:w="1440"/>
            <w:tcMar>
              <w:top w:w="70" w:type="dxa"/>
              <w:start w:w="90" w:type="dxa"/>
              <w:bottom w:w="70" w:type="dxa"/>
              <w:end w:w="90" w:type="dxa"/>
            </w:tcMar>
            <w:vAlign w:val="top"/>
            <w:shd w:fill="F3F6FA"/>
          </w:tcPr>
          <w:p>
            <w:pPr>
              <w:spacing w:after="0"/>
            </w:pPr>
            <w:r/>
            <w:r>
              <w:rPr>
                <w:rFonts w:ascii="Carlito" w:hAnsi="Carlito"/>
                <w:sz w:val="18"/>
              </w:rPr>
              <w:t>LIR</w:t>
            </w:r>
          </w:p>
        </w:tc>
        <w:tc>
          <w:tcPr>
            <w:tcW w:type="dxa" w:w="1152"/>
            <w:tcMar>
              <w:top w:w="70" w:type="dxa"/>
              <w:start w:w="90" w:type="dxa"/>
              <w:bottom w:w="70" w:type="dxa"/>
              <w:end w:w="90" w:type="dxa"/>
            </w:tcMar>
            <w:vAlign w:val="top"/>
            <w:shd w:fill="F3F6FA"/>
          </w:tcPr>
          <w:p>
            <w:pPr>
              <w:spacing w:after="0"/>
            </w:pPr>
            <w:r/>
            <w:r>
              <w:rPr>
                <w:rFonts w:ascii="Carlito" w:hAnsi="Carlito"/>
                <w:sz w:val="18"/>
              </w:rPr>
              <w:t>0%</w:t>
            </w:r>
          </w:p>
        </w:tc>
        <w:tc>
          <w:tcPr>
            <w:tcW w:type="dxa" w:w="1152"/>
            <w:tcMar>
              <w:top w:w="70" w:type="dxa"/>
              <w:start w:w="90" w:type="dxa"/>
              <w:bottom w:w="70" w:type="dxa"/>
              <w:end w:w="90" w:type="dxa"/>
            </w:tcMar>
            <w:vAlign w:val="top"/>
            <w:shd w:fill="F3F6FA"/>
          </w:tcPr>
          <w:p>
            <w:pPr>
              <w:spacing w:after="0"/>
            </w:pPr>
            <w:r/>
            <w:r>
              <w:rPr>
                <w:rFonts w:ascii="Carlito" w:hAnsi="Carlito"/>
                <w:sz w:val="18"/>
              </w:rPr>
              <w:t>1%</w:t>
            </w:r>
          </w:p>
        </w:tc>
        <w:tc>
          <w:tcPr>
            <w:tcW w:type="dxa" w:w="1152"/>
            <w:tcMar>
              <w:top w:w="70" w:type="dxa"/>
              <w:start w:w="90" w:type="dxa"/>
              <w:bottom w:w="70" w:type="dxa"/>
              <w:end w:w="90" w:type="dxa"/>
            </w:tcMar>
            <w:vAlign w:val="top"/>
            <w:shd w:fill="F3F6FA"/>
          </w:tcPr>
          <w:p>
            <w:pPr>
              <w:spacing w:after="0"/>
            </w:pPr>
            <w:r/>
            <w:r>
              <w:rPr>
                <w:rFonts w:ascii="Carlito" w:hAnsi="Carlito"/>
                <w:sz w:val="18"/>
              </w:rPr>
              <w:t>7%</w:t>
            </w:r>
          </w:p>
        </w:tc>
        <w:tc>
          <w:tcPr>
            <w:tcW w:type="dxa" w:w="1152"/>
            <w:tcMar>
              <w:top w:w="70" w:type="dxa"/>
              <w:start w:w="90" w:type="dxa"/>
              <w:bottom w:w="70" w:type="dxa"/>
              <w:end w:w="90" w:type="dxa"/>
            </w:tcMar>
            <w:vAlign w:val="top"/>
            <w:shd w:fill="F3F6FA"/>
          </w:tcPr>
          <w:p>
            <w:pPr>
              <w:spacing w:after="0"/>
            </w:pPr>
            <w:r/>
            <w:r>
              <w:rPr>
                <w:rFonts w:ascii="Carlito" w:hAnsi="Carlito"/>
                <w:sz w:val="18"/>
              </w:rPr>
              <w:t>92%</w:t>
            </w:r>
          </w:p>
        </w:tc>
      </w:tr>
      <w:tr>
        <w:trPr>
          <w:cantSplit/>
        </w:trPr>
        <w:tc>
          <w:tcPr>
            <w:tcW w:type="dxa" w:w="1296"/>
            <w:tcMar>
              <w:top w:w="70" w:type="dxa"/>
              <w:start w:w="90" w:type="dxa"/>
              <w:bottom w:w="70" w:type="dxa"/>
              <w:end w:w="90" w:type="dxa"/>
            </w:tcMar>
            <w:vAlign w:val="top"/>
          </w:tcPr>
          <w:p>
            <w:pPr>
              <w:spacing w:after="0"/>
            </w:pPr>
            <w:r/>
            <w:r>
              <w:rPr>
                <w:rFonts w:ascii="Carlito" w:hAnsi="Carlito"/>
                <w:sz w:val="18"/>
              </w:rPr>
              <w:t>2050</w:t>
            </w:r>
          </w:p>
        </w:tc>
        <w:tc>
          <w:tcPr>
            <w:tcW w:type="dxa" w:w="1440"/>
            <w:tcMar>
              <w:top w:w="70" w:type="dxa"/>
              <w:start w:w="90" w:type="dxa"/>
              <w:bottom w:w="70" w:type="dxa"/>
              <w:end w:w="90" w:type="dxa"/>
            </w:tcMar>
            <w:vAlign w:val="top"/>
          </w:tcPr>
          <w:p>
            <w:pPr>
              <w:spacing w:after="0"/>
            </w:pPr>
            <w:r/>
            <w:r>
              <w:rPr>
                <w:rFonts w:ascii="Carlito" w:hAnsi="Carlito"/>
                <w:sz w:val="18"/>
              </w:rPr>
              <w:t>DTR</w:t>
            </w:r>
          </w:p>
        </w:tc>
        <w:tc>
          <w:tcPr>
            <w:tcW w:type="dxa" w:w="1152"/>
            <w:tcMar>
              <w:top w:w="70" w:type="dxa"/>
              <w:start w:w="90" w:type="dxa"/>
              <w:bottom w:w="70" w:type="dxa"/>
              <w:end w:w="90" w:type="dxa"/>
            </w:tcMar>
            <w:vAlign w:val="top"/>
          </w:tcPr>
          <w:p>
            <w:pPr>
              <w:spacing w:after="0"/>
            </w:pPr>
            <w:r/>
            <w:r>
              <w:rPr>
                <w:rFonts w:ascii="Carlito" w:hAnsi="Carlito"/>
                <w:sz w:val="18"/>
              </w:rPr>
              <w:t>14%</w:t>
            </w:r>
          </w:p>
        </w:tc>
        <w:tc>
          <w:tcPr>
            <w:tcW w:type="dxa" w:w="1152"/>
            <w:tcMar>
              <w:top w:w="70" w:type="dxa"/>
              <w:start w:w="90" w:type="dxa"/>
              <w:bottom w:w="70" w:type="dxa"/>
              <w:end w:w="90" w:type="dxa"/>
            </w:tcMar>
            <w:vAlign w:val="top"/>
          </w:tcPr>
          <w:p>
            <w:pPr>
              <w:spacing w:after="0"/>
            </w:pPr>
            <w:r/>
            <w:r>
              <w:rPr>
                <w:rFonts w:ascii="Carlito" w:hAnsi="Carlito"/>
                <w:sz w:val="18"/>
              </w:rPr>
              <w:t>6%</w:t>
            </w:r>
          </w:p>
        </w:tc>
        <w:tc>
          <w:tcPr>
            <w:tcW w:type="dxa" w:w="1152"/>
            <w:tcMar>
              <w:top w:w="70" w:type="dxa"/>
              <w:start w:w="90" w:type="dxa"/>
              <w:bottom w:w="70" w:type="dxa"/>
              <w:end w:w="90" w:type="dxa"/>
            </w:tcMar>
            <w:vAlign w:val="top"/>
          </w:tcPr>
          <w:p>
            <w:pPr>
              <w:spacing w:after="0"/>
            </w:pPr>
            <w:r/>
            <w:r>
              <w:rPr>
                <w:rFonts w:ascii="Carlito" w:hAnsi="Carlito"/>
                <w:sz w:val="18"/>
              </w:rPr>
              <w:t>27%</w:t>
            </w:r>
          </w:p>
        </w:tc>
        <w:tc>
          <w:tcPr>
            <w:tcW w:type="dxa" w:w="1152"/>
            <w:tcMar>
              <w:top w:w="70" w:type="dxa"/>
              <w:start w:w="90" w:type="dxa"/>
              <w:bottom w:w="70" w:type="dxa"/>
              <w:end w:w="90" w:type="dxa"/>
            </w:tcMar>
            <w:vAlign w:val="top"/>
          </w:tcPr>
          <w:p>
            <w:pPr>
              <w:spacing w:after="0"/>
            </w:pPr>
            <w:r/>
            <w:r>
              <w:rPr>
                <w:rFonts w:ascii="Carlito" w:hAnsi="Carlito"/>
                <w:sz w:val="18"/>
              </w:rPr>
              <w:t>53%</w:t>
            </w:r>
          </w:p>
        </w:tc>
      </w:tr>
      <w:tr>
        <w:trPr>
          <w:cantSplit/>
        </w:trPr>
        <w:tc>
          <w:tcPr>
            <w:tcW w:type="dxa" w:w="1296"/>
            <w:tcMar>
              <w:top w:w="70" w:type="dxa"/>
              <w:start w:w="90" w:type="dxa"/>
              <w:bottom w:w="70" w:type="dxa"/>
              <w:end w:w="90" w:type="dxa"/>
            </w:tcMar>
            <w:vAlign w:val="top"/>
            <w:shd w:fill="F3F6FA"/>
          </w:tcPr>
          <w:p>
            <w:pPr>
              <w:spacing w:after="0"/>
            </w:pPr>
            <w:r/>
            <w:r>
              <w:rPr>
                <w:rFonts w:ascii="Carlito" w:hAnsi="Carlito"/>
                <w:sz w:val="18"/>
              </w:rPr>
              <w:t>2050</w:t>
            </w:r>
          </w:p>
        </w:tc>
        <w:tc>
          <w:tcPr>
            <w:tcW w:type="dxa" w:w="1440"/>
            <w:tcMar>
              <w:top w:w="70" w:type="dxa"/>
              <w:start w:w="90" w:type="dxa"/>
              <w:bottom w:w="70" w:type="dxa"/>
              <w:end w:w="90" w:type="dxa"/>
            </w:tcMar>
            <w:vAlign w:val="top"/>
            <w:shd w:fill="F3F6FA"/>
          </w:tcPr>
          <w:p>
            <w:pPr>
              <w:spacing w:after="0"/>
            </w:pPr>
            <w:r/>
            <w:r>
              <w:rPr>
                <w:rFonts w:ascii="Carlito" w:hAnsi="Carlito"/>
                <w:sz w:val="18"/>
              </w:rPr>
              <w:t>LIR</w:t>
            </w:r>
          </w:p>
        </w:tc>
        <w:tc>
          <w:tcPr>
            <w:tcW w:type="dxa" w:w="1152"/>
            <w:tcMar>
              <w:top w:w="70" w:type="dxa"/>
              <w:start w:w="90" w:type="dxa"/>
              <w:bottom w:w="70" w:type="dxa"/>
              <w:end w:w="90" w:type="dxa"/>
            </w:tcMar>
            <w:vAlign w:val="top"/>
            <w:shd w:fill="F3F6FA"/>
          </w:tcPr>
          <w:p>
            <w:pPr>
              <w:spacing w:after="0"/>
            </w:pPr>
            <w:r/>
            <w:r>
              <w:rPr>
                <w:rFonts w:ascii="Carlito" w:hAnsi="Carlito"/>
                <w:sz w:val="18"/>
              </w:rPr>
              <w:t>0%</w:t>
            </w:r>
          </w:p>
        </w:tc>
        <w:tc>
          <w:tcPr>
            <w:tcW w:type="dxa" w:w="1152"/>
            <w:tcMar>
              <w:top w:w="70" w:type="dxa"/>
              <w:start w:w="90" w:type="dxa"/>
              <w:bottom w:w="70" w:type="dxa"/>
              <w:end w:w="90" w:type="dxa"/>
            </w:tcMar>
            <w:vAlign w:val="top"/>
            <w:shd w:fill="F3F6FA"/>
          </w:tcPr>
          <w:p>
            <w:pPr>
              <w:spacing w:after="0"/>
            </w:pPr>
            <w:r/>
            <w:r>
              <w:rPr>
                <w:rFonts w:ascii="Carlito" w:hAnsi="Carlito"/>
                <w:sz w:val="18"/>
              </w:rPr>
              <w:t>0%</w:t>
            </w:r>
          </w:p>
        </w:tc>
        <w:tc>
          <w:tcPr>
            <w:tcW w:type="dxa" w:w="1152"/>
            <w:tcMar>
              <w:top w:w="70" w:type="dxa"/>
              <w:start w:w="90" w:type="dxa"/>
              <w:bottom w:w="70" w:type="dxa"/>
              <w:end w:w="90" w:type="dxa"/>
            </w:tcMar>
            <w:vAlign w:val="top"/>
            <w:shd w:fill="F3F6FA"/>
          </w:tcPr>
          <w:p>
            <w:pPr>
              <w:spacing w:after="0"/>
            </w:pPr>
            <w:r/>
            <w:r>
              <w:rPr>
                <w:rFonts w:ascii="Carlito" w:hAnsi="Carlito"/>
                <w:sz w:val="18"/>
              </w:rPr>
              <w:t>1%</w:t>
            </w:r>
          </w:p>
        </w:tc>
        <w:tc>
          <w:tcPr>
            <w:tcW w:type="dxa" w:w="1152"/>
            <w:tcMar>
              <w:top w:w="70" w:type="dxa"/>
              <w:start w:w="90" w:type="dxa"/>
              <w:bottom w:w="70" w:type="dxa"/>
              <w:end w:w="90" w:type="dxa"/>
            </w:tcMar>
            <w:vAlign w:val="top"/>
            <w:shd w:fill="F3F6FA"/>
          </w:tcPr>
          <w:p>
            <w:pPr>
              <w:spacing w:after="0"/>
            </w:pPr>
            <w:r/>
            <w:r>
              <w:rPr>
                <w:rFonts w:ascii="Carlito" w:hAnsi="Carlito"/>
                <w:sz w:val="18"/>
              </w:rPr>
              <w:t>99%</w:t>
            </w:r>
          </w:p>
        </w:tc>
      </w:tr>
    </w:tbl>
    <w:p>
      <w:pPr>
        <w:spacing w:after="20"/>
      </w:pPr>
    </w:p>
    <w:p>
      <w:pPr>
        <w:spacing w:after="100" w:before="0" w:line="259" w:lineRule="auto"/>
      </w:pPr>
      <w:r>
        <w:rPr>
          <w:rFonts w:ascii="Carlito" w:hAnsi="Carlito"/>
        </w:rPr>
        <w:t>No conditional probability movement is recorded in R1. This is a design constraint rather than a substantive claim that nothing has changed.</w:t>
      </w:r>
    </w:p>
    <w:p>
      <w:pPr>
        <w:pStyle w:val="Heading1"/>
        <w:spacing w:after="100" w:before="0" w:line="259" w:lineRule="auto"/>
      </w:pPr>
      <w:r>
        <w:rPr>
          <w:rFonts w:ascii="Carlito" w:hAnsi="Carlito"/>
        </w:rPr>
        <w:t>4. Structural conditions</w:t>
      </w:r>
    </w:p>
    <w:p>
      <w:pPr>
        <w:pStyle w:val="Heading2"/>
        <w:spacing w:after="100" w:before="0" w:line="259" w:lineRule="auto"/>
      </w:pPr>
      <w:r>
        <w:rPr>
          <w:rFonts w:ascii="Carlito" w:hAnsi="Carlito"/>
        </w:rPr>
        <w:t>4.1 Structural Trust Basket</w:t>
      </w:r>
    </w:p>
    <w:p>
      <w:pPr>
        <w:spacing w:after="100" w:before="0" w:line="259" w:lineRule="auto"/>
      </w:pPr>
      <w:r>
        <w:rPr>
          <w:rFonts w:ascii="Carlito" w:hAnsi="Carlito"/>
        </w:rPr>
        <w:t>The restored Trust Basket deliberately separates the underlying legitimacy of institutions from the operational question of whether AI systems are being governed responsibly. The latest evidence is mixed but overall weak.</w:t>
      </w:r>
    </w:p>
    <w:tbl>
      <w:tblPr>
        <w:tblStyle w:val="TableGrid"/>
        <w:tblW w:type="auto" w:w="0"/>
        <w:jc w:val="center"/>
        <w:tblLayout w:type="autofit"/>
        <w:tblLook w:firstColumn="1" w:firstRow="1" w:lastColumn="0" w:lastRow="0" w:noHBand="0" w:noVBand="1" w:val="04A0"/>
      </w:tblPr>
      <w:tblGrid>
        <w:gridCol w:w="3350"/>
        <w:gridCol w:w="3350"/>
        <w:gridCol w:w="3350"/>
      </w:tblGrid>
      <w:tr>
        <w:trPr>
          <w:tblHeader w:val="true"/>
          <w:cantSplit/>
        </w:trPr>
        <w:tc>
          <w:tcPr>
            <w:tcW w:type="dxa" w:w="2232"/>
            <w:shd w:fill="17365D"/>
            <w:tcMar>
              <w:top w:w="70" w:type="dxa"/>
              <w:start w:w="90" w:type="dxa"/>
              <w:bottom w:w="70" w:type="dxa"/>
              <w:end w:w="90" w:type="dxa"/>
            </w:tcMar>
            <w:vAlign w:val="center"/>
          </w:tcPr>
          <w:p>
            <w:pPr>
              <w:spacing w:after="0"/>
            </w:pPr>
            <w:r/>
            <w:r>
              <w:rPr>
                <w:rFonts w:ascii="Carlito" w:hAnsi="Carlito"/>
                <w:b/>
                <w:color w:val="FFFFFF"/>
                <w:sz w:val="16"/>
              </w:rPr>
              <w:t>Component</w:t>
            </w:r>
          </w:p>
        </w:tc>
        <w:tc>
          <w:tcPr>
            <w:tcW w:type="dxa" w:w="4752"/>
            <w:shd w:fill="17365D"/>
            <w:tcMar>
              <w:top w:w="70" w:type="dxa"/>
              <w:start w:w="90" w:type="dxa"/>
              <w:bottom w:w="70" w:type="dxa"/>
              <w:end w:w="90" w:type="dxa"/>
            </w:tcMar>
            <w:vAlign w:val="center"/>
          </w:tcPr>
          <w:p>
            <w:pPr>
              <w:spacing w:after="0"/>
            </w:pPr>
            <w:r/>
            <w:r>
              <w:rPr>
                <w:rFonts w:ascii="Carlito" w:hAnsi="Carlito"/>
                <w:b/>
                <w:color w:val="FFFFFF"/>
                <w:sz w:val="16"/>
              </w:rPr>
              <w:t>Latest reading</w:t>
            </w:r>
          </w:p>
        </w:tc>
        <w:tc>
          <w:tcPr>
            <w:tcW w:type="dxa" w:w="3240"/>
            <w:shd w:fill="17365D"/>
            <w:tcMar>
              <w:top w:w="70" w:type="dxa"/>
              <w:start w:w="90" w:type="dxa"/>
              <w:bottom w:w="70" w:type="dxa"/>
              <w:end w:w="90" w:type="dxa"/>
            </w:tcMar>
            <w:vAlign w:val="center"/>
          </w:tcPr>
          <w:p>
            <w:pPr>
              <w:spacing w:after="0"/>
            </w:pPr>
            <w:r/>
            <w:r>
              <w:rPr>
                <w:rFonts w:ascii="Carlito" w:hAnsi="Carlito"/>
                <w:b/>
                <w:color w:val="FFFFFF"/>
                <w:sz w:val="16"/>
              </w:rPr>
              <w:t>R1 interpretation</w:t>
            </w:r>
          </w:p>
        </w:tc>
      </w:tr>
      <w:tr>
        <w:trPr>
          <w:cantSplit/>
        </w:trPr>
        <w:tc>
          <w:tcPr>
            <w:tcW w:type="dxa" w:w="2232"/>
            <w:tcMar>
              <w:top w:w="70" w:type="dxa"/>
              <w:start w:w="90" w:type="dxa"/>
              <w:bottom w:w="70" w:type="dxa"/>
              <w:end w:w="90" w:type="dxa"/>
            </w:tcMar>
            <w:vAlign w:val="top"/>
          </w:tcPr>
          <w:p>
            <w:pPr>
              <w:spacing w:after="0"/>
            </w:pPr>
            <w:r/>
            <w:r>
              <w:rPr>
                <w:rFonts w:ascii="Carlito" w:hAnsi="Carlito"/>
                <w:sz w:val="16"/>
              </w:rPr>
              <w:t>Government effectiveness</w:t>
            </w:r>
          </w:p>
        </w:tc>
        <w:tc>
          <w:tcPr>
            <w:tcW w:type="dxa" w:w="4752"/>
            <w:tcMar>
              <w:top w:w="70" w:type="dxa"/>
              <w:start w:w="90" w:type="dxa"/>
              <w:bottom w:w="70" w:type="dxa"/>
              <w:end w:w="90" w:type="dxa"/>
            </w:tcMar>
            <w:vAlign w:val="top"/>
          </w:tcPr>
          <w:p>
            <w:pPr>
              <w:spacing w:after="0"/>
            </w:pPr>
            <w:r/>
            <w:r>
              <w:rPr>
                <w:rFonts w:ascii="Carlito" w:hAnsi="Carlito"/>
                <w:sz w:val="16"/>
              </w:rPr>
              <w:t>Latest WGI release remains a slow structural anchor; latest observation year is 2024.</w:t>
            </w:r>
          </w:p>
        </w:tc>
        <w:tc>
          <w:tcPr>
            <w:tcW w:type="dxa" w:w="3240"/>
            <w:tcMar>
              <w:top w:w="70" w:type="dxa"/>
              <w:start w:w="90" w:type="dxa"/>
              <w:bottom w:w="70" w:type="dxa"/>
              <w:end w:w="90" w:type="dxa"/>
            </w:tcMar>
            <w:vAlign w:val="top"/>
          </w:tcPr>
          <w:p>
            <w:pPr>
              <w:spacing w:after="0"/>
            </w:pPr>
            <w:r/>
            <w:r>
              <w:rPr>
                <w:rFonts w:ascii="Carlito" w:hAnsi="Carlito"/>
                <w:sz w:val="16"/>
              </w:rPr>
              <w:t>Baseline only; not fresh 2026 movement.</w:t>
            </w:r>
          </w:p>
        </w:tc>
      </w:tr>
      <w:tr>
        <w:trPr>
          <w:cantSplit/>
        </w:trPr>
        <w:tc>
          <w:tcPr>
            <w:tcW w:type="dxa" w:w="2232"/>
            <w:tcMar>
              <w:top w:w="70" w:type="dxa"/>
              <w:start w:w="90" w:type="dxa"/>
              <w:bottom w:w="70" w:type="dxa"/>
              <w:end w:w="90" w:type="dxa"/>
            </w:tcMar>
            <w:vAlign w:val="top"/>
            <w:shd w:fill="F3F6FA"/>
          </w:tcPr>
          <w:p>
            <w:pPr>
              <w:spacing w:after="0"/>
            </w:pPr>
            <w:r/>
            <w:r>
              <w:rPr>
                <w:rFonts w:ascii="Carlito" w:hAnsi="Carlito"/>
                <w:sz w:val="16"/>
              </w:rPr>
              <w:t>Public integrity</w:t>
            </w:r>
          </w:p>
        </w:tc>
        <w:tc>
          <w:tcPr>
            <w:tcW w:type="dxa" w:w="4752"/>
            <w:tcMar>
              <w:top w:w="70" w:type="dxa"/>
              <w:start w:w="90" w:type="dxa"/>
              <w:bottom w:w="70" w:type="dxa"/>
              <w:end w:w="90" w:type="dxa"/>
            </w:tcMar>
            <w:vAlign w:val="top"/>
            <w:shd w:fill="F3F6FA"/>
          </w:tcPr>
          <w:p>
            <w:pPr>
              <w:spacing w:after="0"/>
            </w:pPr>
            <w:r/>
            <w:r>
              <w:rPr>
                <w:rFonts w:ascii="Carlito" w:hAnsi="Carlito"/>
                <w:sz w:val="16"/>
              </w:rPr>
              <w:t>Transparency International CPI 2025 global average fell to a new low of 42; more than two-thirds of countries score below 50.</w:t>
            </w:r>
          </w:p>
        </w:tc>
        <w:tc>
          <w:tcPr>
            <w:tcW w:type="dxa" w:w="3240"/>
            <w:tcMar>
              <w:top w:w="70" w:type="dxa"/>
              <w:start w:w="90" w:type="dxa"/>
              <w:bottom w:w="70" w:type="dxa"/>
              <w:end w:w="90" w:type="dxa"/>
            </w:tcMar>
            <w:vAlign w:val="top"/>
            <w:shd w:fill="F3F6FA"/>
          </w:tcPr>
          <w:p>
            <w:pPr>
              <w:spacing w:after="0"/>
            </w:pPr>
            <w:r/>
            <w:r>
              <w:rPr>
                <w:rFonts w:ascii="Carlito" w:hAnsi="Carlito"/>
                <w:sz w:val="16"/>
              </w:rPr>
              <w:t>Negative structural signal.</w:t>
            </w:r>
          </w:p>
        </w:tc>
      </w:tr>
      <w:tr>
        <w:trPr>
          <w:cantSplit/>
        </w:trPr>
        <w:tc>
          <w:tcPr>
            <w:tcW w:type="dxa" w:w="2232"/>
            <w:tcMar>
              <w:top w:w="70" w:type="dxa"/>
              <w:start w:w="90" w:type="dxa"/>
              <w:bottom w:w="70" w:type="dxa"/>
              <w:end w:w="90" w:type="dxa"/>
            </w:tcMar>
            <w:vAlign w:val="top"/>
          </w:tcPr>
          <w:p>
            <w:pPr>
              <w:spacing w:after="0"/>
            </w:pPr>
            <w:r/>
            <w:r>
              <w:rPr>
                <w:rFonts w:ascii="Carlito" w:hAnsi="Carlito"/>
                <w:sz w:val="16"/>
              </w:rPr>
              <w:t>Political and civic freedom</w:t>
            </w:r>
          </w:p>
        </w:tc>
        <w:tc>
          <w:tcPr>
            <w:tcW w:type="dxa" w:w="4752"/>
            <w:tcMar>
              <w:top w:w="70" w:type="dxa"/>
              <w:start w:w="90" w:type="dxa"/>
              <w:bottom w:w="70" w:type="dxa"/>
              <w:end w:w="90" w:type="dxa"/>
            </w:tcMar>
            <w:vAlign w:val="top"/>
          </w:tcPr>
          <w:p>
            <w:pPr>
              <w:spacing w:after="0"/>
            </w:pPr>
            <w:r/>
            <w:r>
              <w:rPr>
                <w:rFonts w:ascii="Carlito" w:hAnsi="Carlito"/>
                <w:sz w:val="16"/>
              </w:rPr>
              <w:t>Freedom House records a 20th consecutive year of global freedom decline; 54 countries deteriorated and 35 improved in 2025.</w:t>
            </w:r>
          </w:p>
        </w:tc>
        <w:tc>
          <w:tcPr>
            <w:tcW w:type="dxa" w:w="3240"/>
            <w:tcMar>
              <w:top w:w="70" w:type="dxa"/>
              <w:start w:w="90" w:type="dxa"/>
              <w:bottom w:w="70" w:type="dxa"/>
              <w:end w:w="90" w:type="dxa"/>
            </w:tcMar>
            <w:vAlign w:val="top"/>
          </w:tcPr>
          <w:p>
            <w:pPr>
              <w:spacing w:after="0"/>
            </w:pPr>
            <w:r/>
            <w:r>
              <w:rPr>
                <w:rFonts w:ascii="Carlito" w:hAnsi="Carlito"/>
                <w:sz w:val="16"/>
              </w:rPr>
              <w:t>Negative structural signal.</w:t>
            </w:r>
          </w:p>
        </w:tc>
      </w:tr>
      <w:tr>
        <w:trPr>
          <w:cantSplit/>
        </w:trPr>
        <w:tc>
          <w:tcPr>
            <w:tcW w:type="dxa" w:w="2232"/>
            <w:tcMar>
              <w:top w:w="70" w:type="dxa"/>
              <w:start w:w="90" w:type="dxa"/>
              <w:bottom w:w="70" w:type="dxa"/>
              <w:end w:w="90" w:type="dxa"/>
            </w:tcMar>
            <w:vAlign w:val="top"/>
            <w:shd w:fill="F3F6FA"/>
          </w:tcPr>
          <w:p>
            <w:pPr>
              <w:spacing w:after="0"/>
            </w:pPr>
            <w:r/>
            <w:r>
              <w:rPr>
                <w:rFonts w:ascii="Carlito" w:hAnsi="Carlito"/>
                <w:sz w:val="16"/>
              </w:rPr>
              <w:t>Expressed trust</w:t>
            </w:r>
          </w:p>
        </w:tc>
        <w:tc>
          <w:tcPr>
            <w:tcW w:type="dxa" w:w="4752"/>
            <w:tcMar>
              <w:top w:w="70" w:type="dxa"/>
              <w:start w:w="90" w:type="dxa"/>
              <w:bottom w:w="70" w:type="dxa"/>
              <w:end w:w="90" w:type="dxa"/>
            </w:tcMar>
            <w:vAlign w:val="top"/>
            <w:shd w:fill="F3F6FA"/>
          </w:tcPr>
          <w:p>
            <w:pPr>
              <w:spacing w:after="0"/>
            </w:pPr>
            <w:r/>
            <w:r>
              <w:rPr>
                <w:rFonts w:ascii="Carlito" w:hAnsi="Carlito"/>
                <w:sz w:val="16"/>
              </w:rPr>
              <w:t>OECD 2025 survey: 40% high/moderately high trust in national government; 43% low or no trust.</w:t>
            </w:r>
          </w:p>
        </w:tc>
        <w:tc>
          <w:tcPr>
            <w:tcW w:type="dxa" w:w="3240"/>
            <w:tcMar>
              <w:top w:w="70" w:type="dxa"/>
              <w:start w:w="90" w:type="dxa"/>
              <w:bottom w:w="70" w:type="dxa"/>
              <w:end w:w="90" w:type="dxa"/>
            </w:tcMar>
            <w:vAlign w:val="top"/>
            <w:shd w:fill="F3F6FA"/>
          </w:tcPr>
          <w:p>
            <w:pPr>
              <w:spacing w:after="0"/>
            </w:pPr>
            <w:r/>
            <w:r>
              <w:rPr>
                <w:rFonts w:ascii="Carlito" w:hAnsi="Carlito"/>
                <w:sz w:val="16"/>
              </w:rPr>
              <w:t>Mixed; trust has stabilized rather than collapsed.</w:t>
            </w:r>
          </w:p>
        </w:tc>
      </w:tr>
    </w:tbl>
    <w:p>
      <w:pPr>
        <w:spacing w:after="20"/>
      </w:pPr>
    </w:p>
    <w:p>
      <w:pPr>
        <w:spacing w:after="100" w:before="0" w:line="259" w:lineRule="auto"/>
      </w:pPr>
      <w:r>
        <w:rPr>
          <w:rFonts w:ascii="Carlito" w:hAnsi="Carlito"/>
        </w:rPr>
        <w:t>The basket therefore establishes a weak and deteriorating institutional backdrop, but not a uniform collapse. Direct survey trust is more stable than the Freedom House and corruption indicators. This is exactly why v12 avoids combining the basket into one synthetic score.</w:t>
      </w:r>
    </w:p>
    <w:p>
      <w:pPr>
        <w:pStyle w:val="Heading2"/>
        <w:spacing w:after="100" w:before="0" w:line="259" w:lineRule="auto"/>
      </w:pPr>
      <w:r>
        <w:rPr>
          <w:rFonts w:ascii="Carlito" w:hAnsi="Carlito"/>
        </w:rPr>
        <w:t>4.2 Macro Performance Panel</w:t>
      </w:r>
    </w:p>
    <w:p>
      <w:pPr>
        <w:spacing w:after="100" w:before="0" w:line="259" w:lineRule="auto"/>
      </w:pPr>
      <w:r>
        <w:rPr>
          <w:rFonts w:ascii="Carlito" w:hAnsi="Carlito"/>
        </w:rPr>
        <w:t>The Macro Performance Panel exists to prevent Grey Swan from becoming a model that can only see institutional weakness. The current global economy remains resilient enough to matter.</w:t>
      </w:r>
    </w:p>
    <w:tbl>
      <w:tblPr>
        <w:tblStyle w:val="TableGrid"/>
        <w:tblW w:type="auto" w:w="0"/>
        <w:jc w:val="center"/>
        <w:tblLayout w:type="autofit"/>
        <w:tblLook w:firstColumn="1" w:firstRow="1" w:lastColumn="0" w:lastRow="0" w:noHBand="0" w:noVBand="1" w:val="04A0"/>
      </w:tblPr>
      <w:tblGrid>
        <w:gridCol w:w="3350"/>
        <w:gridCol w:w="3350"/>
        <w:gridCol w:w="3350"/>
      </w:tblGrid>
      <w:tr>
        <w:trPr>
          <w:tblHeader w:val="true"/>
          <w:cantSplit/>
        </w:trPr>
        <w:tc>
          <w:tcPr>
            <w:tcW w:type="dxa" w:w="2232"/>
            <w:shd w:fill="17365D"/>
            <w:tcMar>
              <w:top w:w="70" w:type="dxa"/>
              <w:start w:w="90" w:type="dxa"/>
              <w:bottom w:w="70" w:type="dxa"/>
              <w:end w:w="90" w:type="dxa"/>
            </w:tcMar>
            <w:vAlign w:val="center"/>
          </w:tcPr>
          <w:p>
            <w:pPr>
              <w:spacing w:after="0"/>
            </w:pPr>
            <w:r/>
            <w:r>
              <w:rPr>
                <w:rFonts w:ascii="Carlito" w:hAnsi="Carlito"/>
                <w:b/>
                <w:color w:val="FFFFFF"/>
                <w:sz w:val="16"/>
              </w:rPr>
              <w:t>Measure</w:t>
            </w:r>
          </w:p>
        </w:tc>
        <w:tc>
          <w:tcPr>
            <w:tcW w:type="dxa" w:w="4896"/>
            <w:shd w:fill="17365D"/>
            <w:tcMar>
              <w:top w:w="70" w:type="dxa"/>
              <w:start w:w="90" w:type="dxa"/>
              <w:bottom w:w="70" w:type="dxa"/>
              <w:end w:w="90" w:type="dxa"/>
            </w:tcMar>
            <w:vAlign w:val="center"/>
          </w:tcPr>
          <w:p>
            <w:pPr>
              <w:spacing w:after="0"/>
            </w:pPr>
            <w:r/>
            <w:r>
              <w:rPr>
                <w:rFonts w:ascii="Carlito" w:hAnsi="Carlito"/>
                <w:b/>
                <w:color w:val="FFFFFF"/>
                <w:sz w:val="16"/>
              </w:rPr>
              <w:t>Latest evidence</w:t>
            </w:r>
          </w:p>
        </w:tc>
        <w:tc>
          <w:tcPr>
            <w:tcW w:type="dxa" w:w="3024"/>
            <w:shd w:fill="17365D"/>
            <w:tcMar>
              <w:top w:w="70" w:type="dxa"/>
              <w:start w:w="90" w:type="dxa"/>
              <w:bottom w:w="70" w:type="dxa"/>
              <w:end w:w="90" w:type="dxa"/>
            </w:tcMar>
            <w:vAlign w:val="center"/>
          </w:tcPr>
          <w:p>
            <w:pPr>
              <w:spacing w:after="0"/>
            </w:pPr>
            <w:r/>
            <w:r>
              <w:rPr>
                <w:rFonts w:ascii="Carlito" w:hAnsi="Carlito"/>
                <w:b/>
                <w:color w:val="FFFFFF"/>
                <w:sz w:val="16"/>
              </w:rPr>
              <w:t>Assessment</w:t>
            </w:r>
          </w:p>
        </w:tc>
      </w:tr>
      <w:tr>
        <w:trPr>
          <w:cantSplit/>
        </w:trPr>
        <w:tc>
          <w:tcPr>
            <w:tcW w:type="dxa" w:w="2232"/>
            <w:tcMar>
              <w:top w:w="70" w:type="dxa"/>
              <w:start w:w="90" w:type="dxa"/>
              <w:bottom w:w="70" w:type="dxa"/>
              <w:end w:w="90" w:type="dxa"/>
            </w:tcMar>
            <w:vAlign w:val="top"/>
          </w:tcPr>
          <w:p>
            <w:pPr>
              <w:spacing w:after="0"/>
            </w:pPr>
            <w:r/>
            <w:r>
              <w:rPr>
                <w:rFonts w:ascii="Carlito" w:hAnsi="Carlito"/>
                <w:sz w:val="16"/>
              </w:rPr>
              <w:t>Real GDP growth</w:t>
            </w:r>
          </w:p>
        </w:tc>
        <w:tc>
          <w:tcPr>
            <w:tcW w:type="dxa" w:w="4896"/>
            <w:tcMar>
              <w:top w:w="70" w:type="dxa"/>
              <w:start w:w="90" w:type="dxa"/>
              <w:bottom w:w="70" w:type="dxa"/>
              <w:end w:w="90" w:type="dxa"/>
            </w:tcMar>
            <w:vAlign w:val="top"/>
          </w:tcPr>
          <w:p>
            <w:pPr>
              <w:spacing w:after="0"/>
            </w:pPr>
            <w:r/>
            <w:r>
              <w:rPr>
                <w:rFonts w:ascii="Carlito" w:hAnsi="Carlito"/>
                <w:sz w:val="16"/>
              </w:rPr>
              <w:t>IMF projects 3.0% global growth in 2026 and 3.4% in 2027, broadly unchanged cumulatively from April.</w:t>
            </w:r>
          </w:p>
        </w:tc>
        <w:tc>
          <w:tcPr>
            <w:tcW w:type="dxa" w:w="3024"/>
            <w:tcMar>
              <w:top w:w="70" w:type="dxa"/>
              <w:start w:w="90" w:type="dxa"/>
              <w:bottom w:w="70" w:type="dxa"/>
              <w:end w:w="90" w:type="dxa"/>
            </w:tcMar>
            <w:vAlign w:val="top"/>
          </w:tcPr>
          <w:p>
            <w:pPr>
              <w:spacing w:after="0"/>
            </w:pPr>
            <w:r/>
            <w:r>
              <w:rPr>
                <w:rFonts w:ascii="Carlito" w:hAnsi="Carlito"/>
                <w:sz w:val="16"/>
              </w:rPr>
              <w:t>Positive but subdued.</w:t>
            </w:r>
          </w:p>
        </w:tc>
      </w:tr>
      <w:tr>
        <w:trPr>
          <w:cantSplit/>
        </w:trPr>
        <w:tc>
          <w:tcPr>
            <w:tcW w:type="dxa" w:w="2232"/>
            <w:tcMar>
              <w:top w:w="70" w:type="dxa"/>
              <w:start w:w="90" w:type="dxa"/>
              <w:bottom w:w="70" w:type="dxa"/>
              <w:end w:w="90" w:type="dxa"/>
            </w:tcMar>
            <w:vAlign w:val="top"/>
            <w:shd w:fill="F3F6FA"/>
          </w:tcPr>
          <w:p>
            <w:pPr>
              <w:spacing w:after="0"/>
            </w:pPr>
            <w:r/>
            <w:r>
              <w:rPr>
                <w:rFonts w:ascii="Carlito" w:hAnsi="Carlito"/>
                <w:sz w:val="16"/>
              </w:rPr>
              <w:t>GDP per capita</w:t>
            </w:r>
          </w:p>
        </w:tc>
        <w:tc>
          <w:tcPr>
            <w:tcW w:type="dxa" w:w="4896"/>
            <w:tcMar>
              <w:top w:w="70" w:type="dxa"/>
              <w:start w:w="90" w:type="dxa"/>
              <w:bottom w:w="70" w:type="dxa"/>
              <w:end w:w="90" w:type="dxa"/>
            </w:tcMar>
            <w:vAlign w:val="top"/>
            <w:shd w:fill="F3F6FA"/>
          </w:tcPr>
          <w:p>
            <w:pPr>
              <w:spacing w:after="0"/>
            </w:pPr>
            <w:r/>
            <w:r>
              <w:rPr>
                <w:rFonts w:ascii="Carlito" w:hAnsi="Carlito"/>
                <w:sz w:val="16"/>
              </w:rPr>
              <w:t>Latest global series remain positive overall, with large country differences.</w:t>
            </w:r>
          </w:p>
        </w:tc>
        <w:tc>
          <w:tcPr>
            <w:tcW w:type="dxa" w:w="3024"/>
            <w:tcMar>
              <w:top w:w="70" w:type="dxa"/>
              <w:start w:w="90" w:type="dxa"/>
              <w:bottom w:w="70" w:type="dxa"/>
              <w:end w:w="90" w:type="dxa"/>
            </w:tcMar>
            <w:vAlign w:val="top"/>
            <w:shd w:fill="F3F6FA"/>
          </w:tcPr>
          <w:p>
            <w:pPr>
              <w:spacing w:after="0"/>
            </w:pPr>
            <w:r/>
            <w:r>
              <w:rPr>
                <w:rFonts w:ascii="Carlito" w:hAnsi="Carlito"/>
                <w:sz w:val="16"/>
              </w:rPr>
              <w:t>Positive but uneven.</w:t>
            </w:r>
          </w:p>
        </w:tc>
      </w:tr>
      <w:tr>
        <w:trPr>
          <w:cantSplit/>
        </w:trPr>
        <w:tc>
          <w:tcPr>
            <w:tcW w:type="dxa" w:w="2232"/>
            <w:tcMar>
              <w:top w:w="70" w:type="dxa"/>
              <w:start w:w="90" w:type="dxa"/>
              <w:bottom w:w="70" w:type="dxa"/>
              <w:end w:w="90" w:type="dxa"/>
            </w:tcMar>
            <w:vAlign w:val="top"/>
          </w:tcPr>
          <w:p>
            <w:pPr>
              <w:spacing w:after="0"/>
            </w:pPr>
            <w:r/>
            <w:r>
              <w:rPr>
                <w:rFonts w:ascii="Carlito" w:hAnsi="Carlito"/>
                <w:sz w:val="16"/>
              </w:rPr>
              <w:t>Labor productivity</w:t>
            </w:r>
          </w:p>
        </w:tc>
        <w:tc>
          <w:tcPr>
            <w:tcW w:type="dxa" w:w="4896"/>
            <w:tcMar>
              <w:top w:w="70" w:type="dxa"/>
              <w:start w:w="90" w:type="dxa"/>
              <w:bottom w:w="70" w:type="dxa"/>
              <w:end w:w="90" w:type="dxa"/>
            </w:tcMar>
            <w:vAlign w:val="top"/>
          </w:tcPr>
          <w:p>
            <w:pPr>
              <w:spacing w:after="0"/>
            </w:pPr>
            <w:r/>
            <w:r>
              <w:rPr>
                <w:rFonts w:ascii="Carlito" w:hAnsi="Carlito"/>
                <w:sz w:val="16"/>
              </w:rPr>
              <w:t>Global output per worker grew 1.7% in 2025, below the 1.8% pre-pandemic average.</w:t>
            </w:r>
          </w:p>
        </w:tc>
        <w:tc>
          <w:tcPr>
            <w:tcW w:type="dxa" w:w="3024"/>
            <w:tcMar>
              <w:top w:w="70" w:type="dxa"/>
              <w:start w:w="90" w:type="dxa"/>
              <w:bottom w:w="70" w:type="dxa"/>
              <w:end w:w="90" w:type="dxa"/>
            </w:tcMar>
            <w:vAlign w:val="top"/>
          </w:tcPr>
          <w:p>
            <w:pPr>
              <w:spacing w:after="0"/>
            </w:pPr>
            <w:r/>
            <w:r>
              <w:rPr>
                <w:rFonts w:ascii="Carlito" w:hAnsi="Carlito"/>
                <w:sz w:val="16"/>
              </w:rPr>
              <w:t>Positive but subdued and uneven.</w:t>
            </w:r>
          </w:p>
        </w:tc>
      </w:tr>
    </w:tbl>
    <w:p>
      <w:pPr>
        <w:spacing w:after="20"/>
      </w:pPr>
    </w:p>
    <w:p>
      <w:pPr>
        <w:spacing w:after="100" w:before="0" w:line="259" w:lineRule="auto"/>
      </w:pPr>
      <w:r>
        <w:rPr>
          <w:rFonts w:ascii="Carlito" w:hAnsi="Carlito"/>
        </w:rPr>
        <w:t>The appropriate v12 Growth-Diffusion classification is therefore Concentrated Growth: productive capacity is still expanding, but the distributional evidence does not show that the gains are diffusing sufficiently.</w:t>
      </w:r>
    </w:p>
    <w:p>
      <w:pPr>
        <w:spacing w:before="120" w:after="160"/>
        <w:ind w:left="504" w:right="504"/>
      </w:pPr>
      <w:r>
        <w:rPr>
          <w:rFonts w:ascii="Carlito" w:hAnsi="Carlito"/>
          <w:b/>
          <w:i/>
          <w:color w:val="17365D"/>
          <w:sz w:val="23"/>
        </w:rPr>
        <w:t>Grey Swan does not discount growth. It refuses to equate growth with empowerment.</w:t>
      </w:r>
    </w:p>
    <w:p>
      <w:pPr>
        <w:pStyle w:val="Heading1"/>
        <w:spacing w:after="100" w:before="0" w:line="259" w:lineRule="auto"/>
      </w:pPr>
      <w:r>
        <w:rPr>
          <w:rFonts w:ascii="Carlito" w:hAnsi="Carlito"/>
        </w:rPr>
        <w:t>5. Archimedes lever baseline</w:t>
      </w:r>
    </w:p>
    <w:tbl>
      <w:tblPr>
        <w:tblStyle w:val="TableGrid"/>
        <w:tblW w:type="auto" w:w="0"/>
        <w:jc w:val="center"/>
        <w:tblLayout w:type="autofit"/>
        <w:tblLook w:firstColumn="1" w:firstRow="1" w:lastColumn="0" w:lastRow="0" w:noHBand="0" w:noVBand="1" w:val="04A0"/>
      </w:tblPr>
      <w:tblGrid>
        <w:gridCol w:w="3350"/>
        <w:gridCol w:w="3350"/>
        <w:gridCol w:w="3350"/>
      </w:tblGrid>
      <w:tr>
        <w:trPr>
          <w:tblHeader w:val="true"/>
          <w:cantSplit/>
        </w:trPr>
        <w:tc>
          <w:tcPr>
            <w:tcW w:type="dxa" w:w="2880"/>
            <w:shd w:fill="17365D"/>
            <w:tcMar>
              <w:top w:w="70" w:type="dxa"/>
              <w:start w:w="90" w:type="dxa"/>
              <w:bottom w:w="70" w:type="dxa"/>
              <w:end w:w="90" w:type="dxa"/>
            </w:tcMar>
            <w:vAlign w:val="center"/>
          </w:tcPr>
          <w:p>
            <w:pPr>
              <w:spacing w:after="0"/>
            </w:pPr>
            <w:r/>
            <w:r>
              <w:rPr>
                <w:rFonts w:ascii="Carlito" w:hAnsi="Carlito"/>
                <w:b/>
                <w:color w:val="FFFFFF"/>
                <w:sz w:val="16"/>
              </w:rPr>
              <w:t>Lever</w:t>
            </w:r>
          </w:p>
        </w:tc>
        <w:tc>
          <w:tcPr>
            <w:tcW w:type="dxa" w:w="1800"/>
            <w:shd w:fill="17365D"/>
            <w:tcMar>
              <w:top w:w="70" w:type="dxa"/>
              <w:start w:w="90" w:type="dxa"/>
              <w:bottom w:w="70" w:type="dxa"/>
              <w:end w:w="90" w:type="dxa"/>
            </w:tcMar>
            <w:vAlign w:val="center"/>
          </w:tcPr>
          <w:p>
            <w:pPr>
              <w:spacing w:after="0"/>
            </w:pPr>
            <w:r/>
            <w:r>
              <w:rPr>
                <w:rFonts w:ascii="Carlito" w:hAnsi="Carlito"/>
                <w:b/>
                <w:color w:val="FFFFFF"/>
                <w:sz w:val="16"/>
              </w:rPr>
              <w:t>R1 status</w:t>
            </w:r>
          </w:p>
        </w:tc>
        <w:tc>
          <w:tcPr>
            <w:tcW w:type="dxa" w:w="5616"/>
            <w:shd w:fill="17365D"/>
            <w:tcMar>
              <w:top w:w="70" w:type="dxa"/>
              <w:start w:w="90" w:type="dxa"/>
              <w:bottom w:w="70" w:type="dxa"/>
              <w:end w:w="90" w:type="dxa"/>
            </w:tcMar>
            <w:vAlign w:val="center"/>
          </w:tcPr>
          <w:p>
            <w:pPr>
              <w:spacing w:after="0"/>
            </w:pPr>
            <w:r/>
            <w:r>
              <w:rPr>
                <w:rFonts w:ascii="Carlito" w:hAnsi="Carlito"/>
                <w:b/>
                <w:color w:val="FFFFFF"/>
                <w:sz w:val="16"/>
              </w:rPr>
              <w:t>Core finding</w:t>
            </w:r>
          </w:p>
        </w:tc>
      </w:tr>
      <w:tr>
        <w:trPr>
          <w:cantSplit/>
        </w:trPr>
        <w:tc>
          <w:tcPr>
            <w:tcW w:type="dxa" w:w="2880"/>
            <w:tcMar>
              <w:top w:w="70" w:type="dxa"/>
              <w:start w:w="90" w:type="dxa"/>
              <w:bottom w:w="70" w:type="dxa"/>
              <w:end w:w="90" w:type="dxa"/>
            </w:tcMar>
            <w:vAlign w:val="top"/>
          </w:tcPr>
          <w:p>
            <w:pPr>
              <w:spacing w:after="0"/>
            </w:pPr>
            <w:r/>
            <w:r>
              <w:rPr>
                <w:rFonts w:ascii="Carlito" w:hAnsi="Carlito"/>
                <w:sz w:val="16"/>
              </w:rPr>
              <w:t>Energy and grids</w:t>
            </w:r>
          </w:p>
        </w:tc>
        <w:tc>
          <w:tcPr>
            <w:tcW w:type="dxa" w:w="1800"/>
            <w:tcMar>
              <w:top w:w="70" w:type="dxa"/>
              <w:start w:w="90" w:type="dxa"/>
              <w:bottom w:w="70" w:type="dxa"/>
              <w:end w:w="90" w:type="dxa"/>
            </w:tcMar>
            <w:vAlign w:val="top"/>
          </w:tcPr>
          <w:p>
            <w:pPr>
              <w:spacing w:after="0"/>
            </w:pPr>
            <w:r/>
            <w:r>
              <w:rPr>
                <w:rFonts w:ascii="Carlito" w:hAnsi="Carlito"/>
                <w:sz w:val="16"/>
              </w:rPr>
              <w:t>Amber, improving</w:t>
            </w:r>
          </w:p>
        </w:tc>
        <w:tc>
          <w:tcPr>
            <w:tcW w:type="dxa" w:w="5616"/>
            <w:tcMar>
              <w:top w:w="70" w:type="dxa"/>
              <w:start w:w="90" w:type="dxa"/>
              <w:bottom w:w="70" w:type="dxa"/>
              <w:end w:w="90" w:type="dxa"/>
            </w:tcMar>
            <w:vAlign w:val="top"/>
          </w:tcPr>
          <w:p>
            <w:pPr>
              <w:spacing w:after="0"/>
            </w:pPr>
            <w:r/>
            <w:r>
              <w:rPr>
                <w:rFonts w:ascii="Carlito" w:hAnsi="Carlito"/>
                <w:sz w:val="16"/>
              </w:rPr>
              <w:t>System resilience is improving in important grids, but demand and infrastructure pressure remain substantial.</w:t>
            </w:r>
          </w:p>
        </w:tc>
      </w:tr>
      <w:tr>
        <w:trPr>
          <w:cantSplit/>
        </w:trPr>
        <w:tc>
          <w:tcPr>
            <w:tcW w:type="dxa" w:w="2880"/>
            <w:tcMar>
              <w:top w:w="70" w:type="dxa"/>
              <w:start w:w="90" w:type="dxa"/>
              <w:bottom w:w="70" w:type="dxa"/>
              <w:end w:w="90" w:type="dxa"/>
            </w:tcMar>
            <w:vAlign w:val="top"/>
            <w:shd w:fill="F3F6FA"/>
          </w:tcPr>
          <w:p>
            <w:pPr>
              <w:spacing w:after="0"/>
            </w:pPr>
            <w:r/>
            <w:r>
              <w:rPr>
                <w:rFonts w:ascii="Carlito" w:hAnsi="Carlito"/>
                <w:sz w:val="16"/>
              </w:rPr>
              <w:t>Health security</w:t>
            </w:r>
          </w:p>
        </w:tc>
        <w:tc>
          <w:tcPr>
            <w:tcW w:type="dxa" w:w="1800"/>
            <w:tcMar>
              <w:top w:w="70" w:type="dxa"/>
              <w:start w:w="90" w:type="dxa"/>
              <w:bottom w:w="70" w:type="dxa"/>
              <w:end w:w="90" w:type="dxa"/>
            </w:tcMar>
            <w:vAlign w:val="top"/>
            <w:shd w:fill="F3F6FA"/>
          </w:tcPr>
          <w:p>
            <w:pPr>
              <w:spacing w:after="0"/>
            </w:pPr>
            <w:r/>
            <w:r>
              <w:rPr>
                <w:rFonts w:ascii="Carlito" w:hAnsi="Carlito"/>
                <w:sz w:val="16"/>
              </w:rPr>
              <w:t>Amber</w:t>
            </w:r>
          </w:p>
        </w:tc>
        <w:tc>
          <w:tcPr>
            <w:tcW w:type="dxa" w:w="5616"/>
            <w:tcMar>
              <w:top w:w="70" w:type="dxa"/>
              <w:start w:w="90" w:type="dxa"/>
              <w:bottom w:w="70" w:type="dxa"/>
              <w:end w:w="90" w:type="dxa"/>
            </w:tcMar>
            <w:vAlign w:val="top"/>
            <w:shd w:fill="F3F6FA"/>
          </w:tcPr>
          <w:p>
            <w:pPr>
              <w:spacing w:after="0"/>
            </w:pPr>
            <w:r/>
            <w:r>
              <w:rPr>
                <w:rFonts w:ascii="Carlito" w:hAnsi="Carlito"/>
                <w:sz w:val="16"/>
              </w:rPr>
              <w:t>Surveillance and preparedness infrastructure are extensive but uneven; the inherited surveillance flag is not cleared.</w:t>
            </w:r>
          </w:p>
        </w:tc>
      </w:tr>
      <w:tr>
        <w:trPr>
          <w:cantSplit/>
        </w:trPr>
        <w:tc>
          <w:tcPr>
            <w:tcW w:type="dxa" w:w="2880"/>
            <w:tcMar>
              <w:top w:w="70" w:type="dxa"/>
              <w:start w:w="90" w:type="dxa"/>
              <w:bottom w:w="70" w:type="dxa"/>
              <w:end w:w="90" w:type="dxa"/>
            </w:tcMar>
            <w:vAlign w:val="top"/>
          </w:tcPr>
          <w:p>
            <w:pPr>
              <w:spacing w:after="0"/>
            </w:pPr>
            <w:r/>
            <w:r>
              <w:rPr>
                <w:rFonts w:ascii="Carlito" w:hAnsi="Carlito"/>
                <w:sz w:val="16"/>
              </w:rPr>
              <w:t>Education and skills</w:t>
            </w:r>
          </w:p>
        </w:tc>
        <w:tc>
          <w:tcPr>
            <w:tcW w:type="dxa" w:w="1800"/>
            <w:tcMar>
              <w:top w:w="70" w:type="dxa"/>
              <w:start w:w="90" w:type="dxa"/>
              <w:bottom w:w="70" w:type="dxa"/>
              <w:end w:w="90" w:type="dxa"/>
            </w:tcMar>
            <w:vAlign w:val="top"/>
          </w:tcPr>
          <w:p>
            <w:pPr>
              <w:spacing w:after="0"/>
            </w:pPr>
            <w:r/>
            <w:r>
              <w:rPr>
                <w:rFonts w:ascii="Carlito" w:hAnsi="Carlito"/>
                <w:sz w:val="16"/>
              </w:rPr>
              <w:t>Amber-red</w:t>
            </w:r>
          </w:p>
        </w:tc>
        <w:tc>
          <w:tcPr>
            <w:tcW w:type="dxa" w:w="5616"/>
            <w:tcMar>
              <w:top w:w="70" w:type="dxa"/>
              <w:start w:w="90" w:type="dxa"/>
              <w:bottom w:w="70" w:type="dxa"/>
              <w:end w:w="90" w:type="dxa"/>
            </w:tcMar>
            <w:vAlign w:val="top"/>
          </w:tcPr>
          <w:p>
            <w:pPr>
              <w:spacing w:after="0"/>
            </w:pPr>
            <w:r/>
            <w:r>
              <w:rPr>
                <w:rFonts w:ascii="Carlito" w:hAnsi="Carlito"/>
                <w:sz w:val="16"/>
              </w:rPr>
              <w:t>AI use is spreading faster than educator capability and assessment redesign.</w:t>
            </w:r>
          </w:p>
        </w:tc>
      </w:tr>
      <w:tr>
        <w:trPr>
          <w:cantSplit/>
        </w:trPr>
        <w:tc>
          <w:tcPr>
            <w:tcW w:type="dxa" w:w="2880"/>
            <w:tcMar>
              <w:top w:w="70" w:type="dxa"/>
              <w:start w:w="90" w:type="dxa"/>
              <w:bottom w:w="70" w:type="dxa"/>
              <w:end w:w="90" w:type="dxa"/>
            </w:tcMar>
            <w:vAlign w:val="top"/>
            <w:shd w:fill="F3F6FA"/>
          </w:tcPr>
          <w:p>
            <w:pPr>
              <w:spacing w:after="0"/>
            </w:pPr>
            <w:r/>
            <w:r>
              <w:rPr>
                <w:rFonts w:ascii="Carlito" w:hAnsi="Carlito"/>
                <w:sz w:val="16"/>
              </w:rPr>
              <w:t>Trust and information integrity</w:t>
            </w:r>
          </w:p>
        </w:tc>
        <w:tc>
          <w:tcPr>
            <w:tcW w:type="dxa" w:w="1800"/>
            <w:tcMar>
              <w:top w:w="70" w:type="dxa"/>
              <w:start w:w="90" w:type="dxa"/>
              <w:bottom w:w="70" w:type="dxa"/>
              <w:end w:w="90" w:type="dxa"/>
            </w:tcMar>
            <w:vAlign w:val="top"/>
            <w:shd w:fill="F3F6FA"/>
          </w:tcPr>
          <w:p>
            <w:pPr>
              <w:spacing w:after="0"/>
            </w:pPr>
            <w:r/>
            <w:r>
              <w:rPr>
                <w:rFonts w:ascii="Carlito" w:hAnsi="Carlito"/>
                <w:sz w:val="16"/>
              </w:rPr>
              <w:t>Amber-red</w:t>
            </w:r>
          </w:p>
        </w:tc>
        <w:tc>
          <w:tcPr>
            <w:tcW w:type="dxa" w:w="5616"/>
            <w:tcMar>
              <w:top w:w="70" w:type="dxa"/>
              <w:start w:w="90" w:type="dxa"/>
              <w:bottom w:w="70" w:type="dxa"/>
              <w:end w:w="90" w:type="dxa"/>
            </w:tcMar>
            <w:vAlign w:val="top"/>
            <w:shd w:fill="F3F6FA"/>
          </w:tcPr>
          <w:p>
            <w:pPr>
              <w:spacing w:after="0"/>
            </w:pPr>
            <w:r/>
            <w:r>
              <w:rPr>
                <w:rFonts w:ascii="Carlito" w:hAnsi="Carlito"/>
                <w:sz w:val="16"/>
              </w:rPr>
              <w:t>Real governance implementation now exists, but it remains geographically patchy.</w:t>
            </w:r>
          </w:p>
        </w:tc>
      </w:tr>
      <w:tr>
        <w:trPr>
          <w:cantSplit/>
        </w:trPr>
        <w:tc>
          <w:tcPr>
            <w:tcW w:type="dxa" w:w="2880"/>
            <w:tcMar>
              <w:top w:w="70" w:type="dxa"/>
              <w:start w:w="90" w:type="dxa"/>
              <w:bottom w:w="70" w:type="dxa"/>
              <w:end w:w="90" w:type="dxa"/>
            </w:tcMar>
            <w:vAlign w:val="top"/>
          </w:tcPr>
          <w:p>
            <w:pPr>
              <w:spacing w:after="0"/>
            </w:pPr>
            <w:r/>
            <w:r>
              <w:rPr>
                <w:rFonts w:ascii="Carlito" w:hAnsi="Carlito"/>
                <w:sz w:val="16"/>
              </w:rPr>
              <w:t>Coordination and supply security</w:t>
            </w:r>
          </w:p>
        </w:tc>
        <w:tc>
          <w:tcPr>
            <w:tcW w:type="dxa" w:w="1800"/>
            <w:tcMar>
              <w:top w:w="70" w:type="dxa"/>
              <w:start w:w="90" w:type="dxa"/>
              <w:bottom w:w="70" w:type="dxa"/>
              <w:end w:w="90" w:type="dxa"/>
            </w:tcMar>
            <w:vAlign w:val="top"/>
          </w:tcPr>
          <w:p>
            <w:pPr>
              <w:spacing w:after="0"/>
            </w:pPr>
            <w:r/>
            <w:r>
              <w:rPr>
                <w:rFonts w:ascii="Carlito" w:hAnsi="Carlito"/>
                <w:sz w:val="16"/>
              </w:rPr>
              <w:t>Amber</w:t>
            </w:r>
          </w:p>
        </w:tc>
        <w:tc>
          <w:tcPr>
            <w:tcW w:type="dxa" w:w="5616"/>
            <w:tcMar>
              <w:top w:w="70" w:type="dxa"/>
              <w:start w:w="90" w:type="dxa"/>
              <w:bottom w:w="70" w:type="dxa"/>
              <w:end w:w="90" w:type="dxa"/>
            </w:tcMar>
            <w:vAlign w:val="top"/>
          </w:tcPr>
          <w:p>
            <w:pPr>
              <w:spacing w:after="0"/>
            </w:pPr>
            <w:r/>
            <w:r>
              <w:rPr>
                <w:rFonts w:ascii="Carlito" w:hAnsi="Carlito"/>
                <w:sz w:val="16"/>
              </w:rPr>
              <w:t>Trade networks are resilient, while operational international coordination remains weaker.</w:t>
            </w:r>
          </w:p>
        </w:tc>
      </w:tr>
      <w:tr>
        <w:trPr>
          <w:cantSplit/>
        </w:trPr>
        <w:tc>
          <w:tcPr>
            <w:tcW w:type="dxa" w:w="2880"/>
            <w:tcMar>
              <w:top w:w="70" w:type="dxa"/>
              <w:start w:w="90" w:type="dxa"/>
              <w:bottom w:w="70" w:type="dxa"/>
              <w:end w:w="90" w:type="dxa"/>
            </w:tcMar>
            <w:vAlign w:val="top"/>
            <w:shd w:fill="F3F6FA"/>
          </w:tcPr>
          <w:p>
            <w:pPr>
              <w:spacing w:after="0"/>
            </w:pPr>
            <w:r/>
            <w:r>
              <w:rPr>
                <w:rFonts w:ascii="Carlito" w:hAnsi="Carlito"/>
                <w:sz w:val="16"/>
              </w:rPr>
              <w:t>Compute and AI access</w:t>
            </w:r>
          </w:p>
        </w:tc>
        <w:tc>
          <w:tcPr>
            <w:tcW w:type="dxa" w:w="1800"/>
            <w:tcMar>
              <w:top w:w="70" w:type="dxa"/>
              <w:start w:w="90" w:type="dxa"/>
              <w:bottom w:w="70" w:type="dxa"/>
              <w:end w:w="90" w:type="dxa"/>
            </w:tcMar>
            <w:vAlign w:val="top"/>
            <w:shd w:fill="F3F6FA"/>
          </w:tcPr>
          <w:p>
            <w:pPr>
              <w:spacing w:after="0"/>
            </w:pPr>
            <w:r/>
            <w:r>
              <w:rPr>
                <w:rFonts w:ascii="Carlito" w:hAnsi="Carlito"/>
                <w:sz w:val="16"/>
              </w:rPr>
              <w:t>Red</w:t>
            </w:r>
          </w:p>
        </w:tc>
        <w:tc>
          <w:tcPr>
            <w:tcW w:type="dxa" w:w="5616"/>
            <w:tcMar>
              <w:top w:w="70" w:type="dxa"/>
              <w:start w:w="90" w:type="dxa"/>
              <w:bottom w:w="70" w:type="dxa"/>
              <w:end w:w="90" w:type="dxa"/>
            </w:tcMar>
            <w:vAlign w:val="top"/>
            <w:shd w:fill="F3F6FA"/>
          </w:tcPr>
          <w:p>
            <w:pPr>
              <w:spacing w:after="0"/>
            </w:pPr>
            <w:r/>
            <w:r>
              <w:rPr>
                <w:rFonts w:ascii="Carlito" w:hAnsi="Carlito"/>
                <w:sz w:val="16"/>
              </w:rPr>
              <w:t>Advanced compute ownership and productive access remain highly concentrated.</w:t>
            </w:r>
          </w:p>
        </w:tc>
      </w:tr>
    </w:tbl>
    <w:p>
      <w:pPr>
        <w:spacing w:after="20"/>
      </w:pPr>
    </w:p>
    <w:p>
      <w:pPr>
        <w:pStyle w:val="Heading2"/>
        <w:spacing w:after="100" w:before="0" w:line="259" w:lineRule="auto"/>
      </w:pPr>
      <w:r>
        <w:rPr>
          <w:rFonts w:ascii="Carlito" w:hAnsi="Carlito"/>
        </w:rPr>
        <w:t>5.1 Energy and grids</w:t>
      </w:r>
    </w:p>
    <w:p>
      <w:pPr>
        <w:spacing w:after="100" w:before="0" w:line="259" w:lineRule="auto"/>
      </w:pPr>
      <w:r>
        <w:rPr>
          <w:rFonts w:ascii="Carlito" w:hAnsi="Carlito"/>
        </w:rPr>
        <w:t>The revised energy measure produces a more balanced reading than the old nighttime-lights proxy. ENTSO-E reports no systemic adequacy risks for most of Europe in summer 2026, with 126 GW of renewable capacity added since the previous summer and battery storage doubling to 29 GW. NERC similarly reports that the number of North American areas at elevated summer shortfall risk fell from six in 2025 to three regions plus one locality in 2026. At the same time, NERC reports another 11 GW of load growth and continuing risks from large loads, heat and drought.</w:t>
      </w:r>
    </w:p>
    <w:p>
      <w:pPr>
        <w:spacing w:after="100" w:before="0" w:line="259" w:lineRule="auto"/>
      </w:pPr>
      <w:r>
        <w:rPr>
          <w:rFonts w:ascii="Carlito" w:hAnsi="Carlito"/>
        </w:rPr>
        <w:t>R1 therefore treats energy as amber and improving. The system is adapting, but it has not reached anything like capability abundance.</w:t>
      </w:r>
    </w:p>
    <w:p>
      <w:pPr>
        <w:pStyle w:val="Heading2"/>
        <w:spacing w:after="100" w:before="0" w:line="259" w:lineRule="auto"/>
      </w:pPr>
      <w:r>
        <w:rPr>
          <w:rFonts w:ascii="Carlito" w:hAnsi="Carlito"/>
        </w:rPr>
        <w:t>5.2 Health security and workforce</w:t>
      </w:r>
    </w:p>
    <w:p>
      <w:pPr>
        <w:spacing w:after="100" w:before="0" w:line="259" w:lineRule="auto"/>
      </w:pPr>
      <w:r>
        <w:rPr>
          <w:rFonts w:ascii="Carlito" w:hAnsi="Carlito"/>
        </w:rPr>
        <w:t>Current respiratory disease activity is relatively low, but v12 deliberately separates disease burden from system capability. The new baseline therefore focuses on surveillance continuity and preparedness. WHO SPAR provides near-universal reporting and a much more direct preparedness measure than influenza positivity alone. However, the new indicator begins as a baseline, and the inherited Health Surveillance Flag is not automatically cleared simply because current disease burden is benign.</w:t>
      </w:r>
    </w:p>
    <w:p>
      <w:pPr>
        <w:pStyle w:val="Heading2"/>
        <w:spacing w:after="100" w:before="0" w:line="259" w:lineRule="auto"/>
      </w:pPr>
      <w:r>
        <w:rPr>
          <w:rFonts w:ascii="Carlito" w:hAnsi="Carlito"/>
        </w:rPr>
        <w:t>5.3 Education and skills</w:t>
      </w:r>
    </w:p>
    <w:p>
      <w:pPr>
        <w:spacing w:after="100" w:before="0" w:line="259" w:lineRule="auto"/>
      </w:pPr>
      <w:r>
        <w:rPr>
          <w:rFonts w:ascii="Carlito" w:hAnsi="Carlito"/>
        </w:rPr>
        <w:t>TALIS 2024 gives a much more defensible education baseline than the retired DOI and ORCID proxies. Around one in three teachers across OECD systems report using AI in their work. Among non-users, around three-quarters report lacking the knowledge or skills needed to teach with AI. The OECD Digital Education Outlook 2026 reports 37% of lower-secondary teachers using AI and 72% concerned that AI can undermine academic integrity.</w:t>
      </w:r>
    </w:p>
    <w:p>
      <w:pPr>
        <w:spacing w:after="100" w:before="0" w:line="259" w:lineRule="auto"/>
      </w:pPr>
      <w:r>
        <w:rPr>
          <w:rFonts w:ascii="Carlito" w:hAnsi="Carlito"/>
        </w:rPr>
        <w:t>The signal is not that schools are ignoring AI. It is that use is spreading faster than deep institutional redesign. The education lever is therefore amber-red and strongly consistent with Uneven Transition.</w:t>
      </w:r>
    </w:p>
    <w:p>
      <w:pPr>
        <w:pStyle w:val="Heading2"/>
        <w:spacing w:after="100" w:before="0" w:line="259" w:lineRule="auto"/>
      </w:pPr>
      <w:r>
        <w:rPr>
          <w:rFonts w:ascii="Carlito" w:hAnsi="Carlito"/>
        </w:rPr>
        <w:t>5.4 Trust and information integrity</w:t>
      </w:r>
    </w:p>
    <w:p>
      <w:pPr>
        <w:spacing w:after="100" w:before="0" w:line="259" w:lineRule="auto"/>
      </w:pPr>
      <w:r>
        <w:rPr>
          <w:rFonts w:ascii="Carlito" w:hAnsi="Carlito"/>
        </w:rPr>
        <w:t>v12 now measures implemented accountability rather than using internet disruption as the main trust proxy. There is genuine positive evidence. Article 50 transparency obligations under the EU AI Act became applicable on 2 August 2026, and about 190 organizations had signed the associated Code of Practice on Transparency of AI-generated Content by the end of July. The OECD.AI Policy Navigator now contains a living repository of policy initiatives from more than 80 jurisdictions and organizations.</w:t>
      </w:r>
    </w:p>
    <w:p>
      <w:pPr>
        <w:spacing w:after="100" w:before="0" w:line="259" w:lineRule="auto"/>
      </w:pPr>
      <w:r>
        <w:rPr>
          <w:rFonts w:ascii="Carlito" w:hAnsi="Carlito"/>
        </w:rPr>
        <w:t>These are meaningful DTR-positive signals, but they remain geographically uneven and are not yet sufficient to establish a global shift toward accountable deployment.</w:t>
      </w:r>
    </w:p>
    <w:p>
      <w:pPr>
        <w:pStyle w:val="Heading2"/>
        <w:spacing w:after="100" w:before="0" w:line="259" w:lineRule="auto"/>
      </w:pPr>
      <w:r>
        <w:rPr>
          <w:rFonts w:ascii="Carlito" w:hAnsi="Carlito"/>
        </w:rPr>
        <w:t>5.5 Treaty-lite coordination and supply security</w:t>
      </w:r>
    </w:p>
    <w:p>
      <w:pPr>
        <w:spacing w:after="100" w:before="0" w:line="259" w:lineRule="auto"/>
      </w:pPr>
      <w:r>
        <w:rPr>
          <w:rFonts w:ascii="Carlito" w:hAnsi="Carlito"/>
        </w:rPr>
        <w:t>The distinction between network resilience and actual coordination is already useful. UNCTAD data show that liner shipping connectivity gains continued to outnumber losses in Q2 2026, but with severe declines in some exposed markets. The global trade system is adapting. That is not the same thing as governments coordinating well.</w:t>
      </w:r>
    </w:p>
    <w:p>
      <w:pPr>
        <w:spacing w:after="100" w:before="0" w:line="259" w:lineRule="auto"/>
      </w:pPr>
      <w:r>
        <w:rPr>
          <w:rFonts w:ascii="Carlito" w:hAnsi="Carlito"/>
        </w:rPr>
        <w:t>There is some institutional progress. The first UN Global Dialogue on AI Governance was held in Geneva in July 2026, supported by the new Independent International Scientific Panel on AI. Under the frozen v12 rules, however, this is still primarily a deliberative and evidence-sharing architecture rather than an operational treaty-lite compact with implementation, monitoring and rapid dispute resolution.</w:t>
      </w:r>
    </w:p>
    <w:p>
      <w:pPr>
        <w:pStyle w:val="Heading2"/>
        <w:spacing w:after="100" w:before="0" w:line="259" w:lineRule="auto"/>
      </w:pPr>
      <w:r>
        <w:rPr>
          <w:rFonts w:ascii="Carlito" w:hAnsi="Carlito"/>
        </w:rPr>
        <w:t>5.6 Compute and AI access</w:t>
      </w:r>
    </w:p>
    <w:p>
      <w:pPr>
        <w:spacing w:after="100" w:before="0" w:line="259" w:lineRule="auto"/>
      </w:pPr>
      <w:r>
        <w:rPr>
          <w:rFonts w:ascii="Carlito" w:hAnsi="Carlito"/>
        </w:rPr>
        <w:t>Compute is the clearest negative baseline. Epoch AI estimates that the five largest hyperscalers controlled a dominant share of advanced AI compute by the end of 2025; a separate Epoch analysis estimates 71% of tracked global AI compute across the five largest hyperscalers. The estimates are modeled rather than administrative and are therefore treated as fragile evidence under v12.</w:t>
      </w:r>
    </w:p>
    <w:p>
      <w:pPr>
        <w:spacing w:after="100" w:before="0" w:line="259" w:lineRule="auto"/>
      </w:pPr>
      <w:r>
        <w:rPr>
          <w:rFonts w:ascii="Carlito" w:hAnsi="Carlito"/>
        </w:rPr>
        <w:t>The OECD public-cloud compute methodology also shows how narrow productive access can be geographically. Its pilot is not fresh enough to count as a 2026 trend reading, but it is highly relevant as a structural baseline. The core point is that consumer access to AI is not the same thing as access to the productive compute layer.</w:t>
      </w:r>
    </w:p>
    <w:p>
      <w:pPr>
        <w:pStyle w:val="Heading1"/>
        <w:spacing w:after="100" w:before="0" w:line="259" w:lineRule="auto"/>
      </w:pPr>
      <w:r>
        <w:rPr>
          <w:rFonts w:ascii="Carlito" w:hAnsi="Carlito"/>
        </w:rPr>
        <w:t>6. Wealth-Diffusion Gate</w:t>
      </w:r>
    </w:p>
    <w:p>
      <w:pPr>
        <w:spacing w:after="100" w:before="0" w:line="259" w:lineRule="auto"/>
      </w:pPr>
      <w:r>
        <w:rPr>
          <w:rFonts w:ascii="Carlito" w:hAnsi="Carlito"/>
        </w:rPr>
        <w:t>The Wealth-Diffusion Gate remains closed. The reason is not that every distributional signal is negative. The Global Findex 2025 data show substantial progress in account ownership and formal saving: 79% of adults globally now have an account, while 40% of adults in developing economies saved formally in 2024, up 16 percentage points from 2021.</w:t>
      </w:r>
    </w:p>
    <w:p>
      <w:pPr>
        <w:spacing w:after="100" w:before="0" w:line="259" w:lineRule="auto"/>
      </w:pPr>
      <w:r>
        <w:rPr>
          <w:rFonts w:ascii="Carlito" w:hAnsi="Carlito"/>
        </w:rPr>
        <w:t>But labor participation in economic gains has not improved sufficiently. ILOSTAT reports that labor income share fell from 53.0% of global GDP in 2015 to 52.6% in 2025. The World Bank also reports that improvement in shared prosperity has stalled since the pandemic and that around one-fifth of the world population lives in countries with high inequality.</w:t>
      </w:r>
    </w:p>
    <w:tbl>
      <w:tblPr>
        <w:tblStyle w:val="TableGrid"/>
        <w:tblW w:type="auto" w:w="0"/>
        <w:jc w:val="center"/>
        <w:tblLayout w:type="autofit"/>
        <w:tblLook w:firstColumn="1" w:firstRow="1" w:lastColumn="0" w:lastRow="0" w:noHBand="0" w:noVBand="1" w:val="04A0"/>
      </w:tblPr>
      <w:tblGrid>
        <w:gridCol w:w="5025"/>
        <w:gridCol w:w="5025"/>
      </w:tblGrid>
      <w:tr>
        <w:trPr>
          <w:tblHeader w:val="true"/>
          <w:cantSplit/>
        </w:trPr>
        <w:tc>
          <w:tcPr>
            <w:tcW w:type="dxa" w:w="4608"/>
            <w:shd w:fill="17365D"/>
            <w:tcMar>
              <w:top w:w="70" w:type="dxa"/>
              <w:start w:w="90" w:type="dxa"/>
              <w:bottom w:w="70" w:type="dxa"/>
              <w:end w:w="90" w:type="dxa"/>
            </w:tcMar>
            <w:vAlign w:val="center"/>
          </w:tcPr>
          <w:p>
            <w:pPr>
              <w:spacing w:after="0"/>
            </w:pPr>
            <w:r/>
            <w:r>
              <w:rPr>
                <w:rFonts w:ascii="Carlito" w:hAnsi="Carlito"/>
                <w:b/>
                <w:color w:val="FFFFFF"/>
                <w:sz w:val="18"/>
              </w:rPr>
              <w:t>Gate dimension</w:t>
            </w:r>
          </w:p>
        </w:tc>
        <w:tc>
          <w:tcPr>
            <w:tcW w:type="dxa" w:w="5472"/>
            <w:shd w:fill="17365D"/>
            <w:tcMar>
              <w:top w:w="70" w:type="dxa"/>
              <w:start w:w="90" w:type="dxa"/>
              <w:bottom w:w="70" w:type="dxa"/>
              <w:end w:w="90" w:type="dxa"/>
            </w:tcMar>
            <w:vAlign w:val="center"/>
          </w:tcPr>
          <w:p>
            <w:pPr>
              <w:spacing w:after="0"/>
            </w:pPr>
            <w:r/>
            <w:r>
              <w:rPr>
                <w:rFonts w:ascii="Carlito" w:hAnsi="Carlito"/>
                <w:b/>
                <w:color w:val="FFFFFF"/>
                <w:sz w:val="18"/>
              </w:rPr>
              <w:t>R1 finding</w:t>
            </w:r>
          </w:p>
        </w:tc>
      </w:tr>
      <w:tr>
        <w:trPr>
          <w:cantSplit/>
        </w:trPr>
        <w:tc>
          <w:tcPr>
            <w:tcW w:type="dxa" w:w="4608"/>
            <w:tcMar>
              <w:top w:w="70" w:type="dxa"/>
              <w:start w:w="90" w:type="dxa"/>
              <w:bottom w:w="70" w:type="dxa"/>
              <w:end w:w="90" w:type="dxa"/>
            </w:tcMar>
            <w:vAlign w:val="top"/>
          </w:tcPr>
          <w:p>
            <w:pPr>
              <w:spacing w:after="0"/>
            </w:pPr>
            <w:r/>
            <w:r>
              <w:rPr>
                <w:rFonts w:ascii="Carlito" w:hAnsi="Carlito"/>
                <w:sz w:val="18"/>
              </w:rPr>
              <w:t>Household financial security</w:t>
            </w:r>
          </w:p>
        </w:tc>
        <w:tc>
          <w:tcPr>
            <w:tcW w:type="dxa" w:w="5472"/>
            <w:tcMar>
              <w:top w:w="70" w:type="dxa"/>
              <w:start w:w="90" w:type="dxa"/>
              <w:bottom w:w="70" w:type="dxa"/>
              <w:end w:w="90" w:type="dxa"/>
            </w:tcMar>
            <w:vAlign w:val="top"/>
          </w:tcPr>
          <w:p>
            <w:pPr>
              <w:spacing w:after="0"/>
            </w:pPr>
            <w:r/>
            <w:r>
              <w:rPr>
                <w:rFonts w:ascii="Carlito" w:hAnsi="Carlito"/>
                <w:sz w:val="18"/>
              </w:rPr>
              <w:t>Improving</w:t>
            </w:r>
          </w:p>
        </w:tc>
      </w:tr>
      <w:tr>
        <w:trPr>
          <w:cantSplit/>
        </w:trPr>
        <w:tc>
          <w:tcPr>
            <w:tcW w:type="dxa" w:w="4608"/>
            <w:tcMar>
              <w:top w:w="70" w:type="dxa"/>
              <w:start w:w="90" w:type="dxa"/>
              <w:bottom w:w="70" w:type="dxa"/>
              <w:end w:w="90" w:type="dxa"/>
            </w:tcMar>
            <w:vAlign w:val="top"/>
            <w:shd w:fill="F3F6FA"/>
          </w:tcPr>
          <w:p>
            <w:pPr>
              <w:spacing w:after="0"/>
            </w:pPr>
            <w:r/>
            <w:r>
              <w:rPr>
                <w:rFonts w:ascii="Carlito" w:hAnsi="Carlito"/>
                <w:sz w:val="18"/>
              </w:rPr>
              <w:t>Labor participation in gains</w:t>
            </w:r>
          </w:p>
        </w:tc>
        <w:tc>
          <w:tcPr>
            <w:tcW w:type="dxa" w:w="5472"/>
            <w:tcMar>
              <w:top w:w="70" w:type="dxa"/>
              <w:start w:w="90" w:type="dxa"/>
              <w:bottom w:w="70" w:type="dxa"/>
              <w:end w:w="90" w:type="dxa"/>
            </w:tcMar>
            <w:vAlign w:val="top"/>
            <w:shd w:fill="F3F6FA"/>
          </w:tcPr>
          <w:p>
            <w:pPr>
              <w:spacing w:after="0"/>
            </w:pPr>
            <w:r/>
            <w:r>
              <w:rPr>
                <w:rFonts w:ascii="Carlito" w:hAnsi="Carlito"/>
                <w:sz w:val="18"/>
              </w:rPr>
              <w:t>Weak / longer-run deterioration</w:t>
            </w:r>
          </w:p>
        </w:tc>
      </w:tr>
      <w:tr>
        <w:trPr>
          <w:cantSplit/>
        </w:trPr>
        <w:tc>
          <w:tcPr>
            <w:tcW w:type="dxa" w:w="4608"/>
            <w:tcMar>
              <w:top w:w="70" w:type="dxa"/>
              <w:start w:w="90" w:type="dxa"/>
              <w:bottom w:w="70" w:type="dxa"/>
              <w:end w:w="90" w:type="dxa"/>
            </w:tcMar>
            <w:vAlign w:val="top"/>
          </w:tcPr>
          <w:p>
            <w:pPr>
              <w:spacing w:after="0"/>
            </w:pPr>
            <w:r/>
            <w:r>
              <w:rPr>
                <w:rFonts w:ascii="Carlito" w:hAnsi="Carlito"/>
                <w:sz w:val="18"/>
              </w:rPr>
              <w:t>Shared prosperity and inequality</w:t>
            </w:r>
          </w:p>
        </w:tc>
        <w:tc>
          <w:tcPr>
            <w:tcW w:type="dxa" w:w="5472"/>
            <w:tcMar>
              <w:top w:w="70" w:type="dxa"/>
              <w:start w:w="90" w:type="dxa"/>
              <w:bottom w:w="70" w:type="dxa"/>
              <w:end w:w="90" w:type="dxa"/>
            </w:tcMar>
            <w:vAlign w:val="top"/>
          </w:tcPr>
          <w:p>
            <w:pPr>
              <w:spacing w:after="0"/>
            </w:pPr>
            <w:r/>
            <w:r>
              <w:rPr>
                <w:rFonts w:ascii="Carlito" w:hAnsi="Carlito"/>
                <w:sz w:val="18"/>
              </w:rPr>
              <w:t>Not improving sufficiently</w:t>
            </w:r>
          </w:p>
        </w:tc>
      </w:tr>
    </w:tbl>
    <w:p>
      <w:pPr>
        <w:spacing w:after="20"/>
      </w:pPr>
    </w:p>
    <w:tbl>
      <w:tblPr>
        <w:tblStyle w:val="TableGrid"/>
        <w:tblW w:type="auto" w:w="0"/>
        <w:jc w:val="center"/>
        <w:tblLook w:firstColumn="1" w:firstRow="1" w:lastColumn="0" w:lastRow="0" w:noHBand="0" w:noVBand="1" w:val="04A0"/>
      </w:tblPr>
      <w:tblGrid>
        <w:gridCol w:w="10051"/>
      </w:tblGrid>
      <w:tr>
        <w:trPr>
          <w:cantSplit/>
        </w:trPr>
        <w:tc>
          <w:tcPr>
            <w:tcW w:type="dxa" w:w="10051"/>
            <w:shd w:fill="FCE4D6"/>
            <w:tcMar>
              <w:top w:w="120" w:type="dxa"/>
              <w:start w:w="160" w:type="dxa"/>
              <w:bottom w:w="120" w:type="dxa"/>
              <w:end w:w="160" w:type="dxa"/>
            </w:tcMar>
          </w:tcPr>
          <w:p>
            <w:pPr>
              <w:spacing w:after="60"/>
            </w:pPr>
            <w:r>
              <w:rPr>
                <w:rFonts w:ascii="Carlito" w:hAnsi="Carlito"/>
                <w:b/>
                <w:color w:val="17365D"/>
                <w:sz w:val="22"/>
              </w:rPr>
              <w:t>Gate decision: CLOSED</w:t>
            </w:r>
          </w:p>
          <w:p>
            <w:pPr>
              <w:spacing w:after="0" w:line="259" w:lineRule="auto"/>
            </w:pPr>
            <w:r>
              <w:rPr>
                <w:rFonts w:ascii="Carlito" w:hAnsi="Carlito"/>
                <w:sz w:val="20"/>
              </w:rPr>
              <w:t>The frozen v12 gate requires broad improvement rather than a single positive indicator. One improving dimension is not enough to promote Full Empowerment.</w:t>
            </w:r>
          </w:p>
        </w:tc>
      </w:tr>
    </w:tbl>
    <w:p>
      <w:pPr>
        <w:spacing w:after="20"/>
      </w:pPr>
    </w:p>
    <w:p>
      <w:pPr>
        <w:pStyle w:val="Heading1"/>
        <w:spacing w:after="100" w:before="0" w:line="259" w:lineRule="auto"/>
      </w:pPr>
      <w:r>
        <w:rPr>
          <w:rFonts w:ascii="Carlito" w:hAnsi="Carlito"/>
        </w:rPr>
        <w:t>7. Cross-cutting flags</w:t>
      </w:r>
    </w:p>
    <w:tbl>
      <w:tblPr>
        <w:tblStyle w:val="TableGrid"/>
        <w:tblW w:type="auto" w:w="0"/>
        <w:jc w:val="center"/>
        <w:tblLayout w:type="autofit"/>
        <w:tblLook w:firstColumn="1" w:firstRow="1" w:lastColumn="0" w:lastRow="0" w:noHBand="0" w:noVBand="1" w:val="04A0"/>
      </w:tblPr>
      <w:tblGrid>
        <w:gridCol w:w="3350"/>
        <w:gridCol w:w="3350"/>
        <w:gridCol w:w="3350"/>
      </w:tblGrid>
      <w:tr>
        <w:trPr>
          <w:tblHeader w:val="true"/>
          <w:cantSplit/>
        </w:trPr>
        <w:tc>
          <w:tcPr>
            <w:tcW w:type="dxa" w:w="2448"/>
            <w:shd w:fill="17365D"/>
            <w:tcMar>
              <w:top w:w="70" w:type="dxa"/>
              <w:start w:w="90" w:type="dxa"/>
              <w:bottom w:w="70" w:type="dxa"/>
              <w:end w:w="90" w:type="dxa"/>
            </w:tcMar>
            <w:vAlign w:val="center"/>
          </w:tcPr>
          <w:p>
            <w:pPr>
              <w:spacing w:after="0"/>
            </w:pPr>
            <w:r/>
            <w:r>
              <w:rPr>
                <w:rFonts w:ascii="Carlito" w:hAnsi="Carlito"/>
                <w:b/>
                <w:color w:val="FFFFFF"/>
                <w:sz w:val="17"/>
              </w:rPr>
              <w:t>Flag</w:t>
            </w:r>
          </w:p>
        </w:tc>
        <w:tc>
          <w:tcPr>
            <w:tcW w:type="dxa" w:w="2304"/>
            <w:shd w:fill="17365D"/>
            <w:tcMar>
              <w:top w:w="70" w:type="dxa"/>
              <w:start w:w="90" w:type="dxa"/>
              <w:bottom w:w="70" w:type="dxa"/>
              <w:end w:w="90" w:type="dxa"/>
            </w:tcMar>
            <w:vAlign w:val="center"/>
          </w:tcPr>
          <w:p>
            <w:pPr>
              <w:spacing w:after="0"/>
            </w:pPr>
            <w:r/>
            <w:r>
              <w:rPr>
                <w:rFonts w:ascii="Carlito" w:hAnsi="Carlito"/>
                <w:b/>
                <w:color w:val="FFFFFF"/>
                <w:sz w:val="17"/>
              </w:rPr>
              <w:t>R1 status</w:t>
            </w:r>
          </w:p>
        </w:tc>
        <w:tc>
          <w:tcPr>
            <w:tcW w:type="dxa" w:w="5400"/>
            <w:shd w:fill="17365D"/>
            <w:tcMar>
              <w:top w:w="70" w:type="dxa"/>
              <w:start w:w="90" w:type="dxa"/>
              <w:bottom w:w="70" w:type="dxa"/>
              <w:end w:w="90" w:type="dxa"/>
            </w:tcMar>
            <w:vAlign w:val="center"/>
          </w:tcPr>
          <w:p>
            <w:pPr>
              <w:spacing w:after="0"/>
            </w:pPr>
            <w:r/>
            <w:r>
              <w:rPr>
                <w:rFonts w:ascii="Carlito" w:hAnsi="Carlito"/>
                <w:b/>
                <w:color w:val="FFFFFF"/>
                <w:sz w:val="17"/>
              </w:rPr>
              <w:t>Reason</w:t>
            </w:r>
          </w:p>
        </w:tc>
      </w:tr>
      <w:tr>
        <w:trPr>
          <w:cantSplit/>
        </w:trPr>
        <w:tc>
          <w:tcPr>
            <w:tcW w:type="dxa" w:w="2448"/>
            <w:tcMar>
              <w:top w:w="70" w:type="dxa"/>
              <w:start w:w="90" w:type="dxa"/>
              <w:bottom w:w="70" w:type="dxa"/>
              <w:end w:w="90" w:type="dxa"/>
            </w:tcMar>
            <w:vAlign w:val="top"/>
          </w:tcPr>
          <w:p>
            <w:pPr>
              <w:spacing w:after="0"/>
            </w:pPr>
            <w:r/>
            <w:r>
              <w:rPr>
                <w:rFonts w:ascii="Carlito" w:hAnsi="Carlito"/>
                <w:sz w:val="17"/>
              </w:rPr>
              <w:t>Geopolitical Shock</w:t>
            </w:r>
          </w:p>
        </w:tc>
        <w:tc>
          <w:tcPr>
            <w:tcW w:type="dxa" w:w="2304"/>
            <w:tcMar>
              <w:top w:w="70" w:type="dxa"/>
              <w:start w:w="90" w:type="dxa"/>
              <w:bottom w:w="70" w:type="dxa"/>
              <w:end w:w="90" w:type="dxa"/>
            </w:tcMar>
            <w:vAlign w:val="top"/>
          </w:tcPr>
          <w:p>
            <w:pPr>
              <w:spacing w:after="0"/>
            </w:pPr>
            <w:r/>
            <w:r>
              <w:rPr>
                <w:rFonts w:ascii="Carlito" w:hAnsi="Carlito"/>
                <w:sz w:val="17"/>
              </w:rPr>
              <w:t>ACTIVE</w:t>
            </w:r>
          </w:p>
        </w:tc>
        <w:tc>
          <w:tcPr>
            <w:tcW w:type="dxa" w:w="5400"/>
            <w:tcMar>
              <w:top w:w="70" w:type="dxa"/>
              <w:start w:w="90" w:type="dxa"/>
              <w:bottom w:w="70" w:type="dxa"/>
              <w:end w:w="90" w:type="dxa"/>
            </w:tcMar>
            <w:vAlign w:val="top"/>
          </w:tcPr>
          <w:p>
            <w:pPr>
              <w:spacing w:after="0"/>
            </w:pPr>
            <w:r/>
            <w:r>
              <w:rPr>
                <w:rFonts w:ascii="Carlito" w:hAnsi="Carlito"/>
                <w:sz w:val="17"/>
              </w:rPr>
              <w:t>Geopolitical stress remains elevated; no sustained reversal is established.</w:t>
            </w:r>
          </w:p>
        </w:tc>
      </w:tr>
      <w:tr>
        <w:trPr>
          <w:cantSplit/>
        </w:trPr>
        <w:tc>
          <w:tcPr>
            <w:tcW w:type="dxa" w:w="2448"/>
            <w:tcMar>
              <w:top w:w="70" w:type="dxa"/>
              <w:start w:w="90" w:type="dxa"/>
              <w:bottom w:w="70" w:type="dxa"/>
              <w:end w:w="90" w:type="dxa"/>
            </w:tcMar>
            <w:vAlign w:val="top"/>
            <w:shd w:fill="F3F6FA"/>
          </w:tcPr>
          <w:p>
            <w:pPr>
              <w:spacing w:after="0"/>
            </w:pPr>
            <w:r/>
            <w:r>
              <w:rPr>
                <w:rFonts w:ascii="Carlito" w:hAnsi="Carlito"/>
                <w:sz w:val="17"/>
              </w:rPr>
              <w:t>Health Surveillance</w:t>
            </w:r>
          </w:p>
        </w:tc>
        <w:tc>
          <w:tcPr>
            <w:tcW w:type="dxa" w:w="2304"/>
            <w:tcMar>
              <w:top w:w="70" w:type="dxa"/>
              <w:start w:w="90" w:type="dxa"/>
              <w:bottom w:w="70" w:type="dxa"/>
              <w:end w:w="90" w:type="dxa"/>
            </w:tcMar>
            <w:vAlign w:val="top"/>
            <w:shd w:fill="F3F6FA"/>
          </w:tcPr>
          <w:p>
            <w:pPr>
              <w:spacing w:after="0"/>
            </w:pPr>
            <w:r/>
            <w:r>
              <w:rPr>
                <w:rFonts w:ascii="Carlito" w:hAnsi="Carlito"/>
                <w:sz w:val="17"/>
              </w:rPr>
              <w:t>ACTIVE</w:t>
            </w:r>
          </w:p>
        </w:tc>
        <w:tc>
          <w:tcPr>
            <w:tcW w:type="dxa" w:w="5400"/>
            <w:tcMar>
              <w:top w:w="70" w:type="dxa"/>
              <w:start w:w="90" w:type="dxa"/>
              <w:bottom w:w="70" w:type="dxa"/>
              <w:end w:w="90" w:type="dxa"/>
            </w:tcMar>
            <w:vAlign w:val="top"/>
            <w:shd w:fill="F3F6FA"/>
          </w:tcPr>
          <w:p>
            <w:pPr>
              <w:spacing w:after="0"/>
            </w:pPr>
            <w:r/>
            <w:r>
              <w:rPr>
                <w:rFonts w:ascii="Carlito" w:hAnsi="Carlito"/>
                <w:sz w:val="17"/>
              </w:rPr>
              <w:t>The closing v11.9 flag is not cleared by a new baseline observation.</w:t>
            </w:r>
          </w:p>
        </w:tc>
      </w:tr>
      <w:tr>
        <w:trPr>
          <w:cantSplit/>
        </w:trPr>
        <w:tc>
          <w:tcPr>
            <w:tcW w:type="dxa" w:w="2448"/>
            <w:tcMar>
              <w:top w:w="70" w:type="dxa"/>
              <w:start w:w="90" w:type="dxa"/>
              <w:bottom w:w="70" w:type="dxa"/>
              <w:end w:w="90" w:type="dxa"/>
            </w:tcMar>
            <w:vAlign w:val="top"/>
          </w:tcPr>
          <w:p>
            <w:pPr>
              <w:spacing w:after="0"/>
            </w:pPr>
            <w:r/>
            <w:r>
              <w:rPr>
                <w:rFonts w:ascii="Carlito" w:hAnsi="Carlito"/>
                <w:sz w:val="17"/>
              </w:rPr>
              <w:t>Economic Stress</w:t>
            </w:r>
          </w:p>
        </w:tc>
        <w:tc>
          <w:tcPr>
            <w:tcW w:type="dxa" w:w="2304"/>
            <w:tcMar>
              <w:top w:w="70" w:type="dxa"/>
              <w:start w:w="90" w:type="dxa"/>
              <w:bottom w:w="70" w:type="dxa"/>
              <w:end w:w="90" w:type="dxa"/>
            </w:tcMar>
            <w:vAlign w:val="top"/>
          </w:tcPr>
          <w:p>
            <w:pPr>
              <w:spacing w:after="0"/>
            </w:pPr>
            <w:r/>
            <w:r>
              <w:rPr>
                <w:rFonts w:ascii="Carlito" w:hAnsi="Carlito"/>
                <w:sz w:val="17"/>
              </w:rPr>
              <w:t>INACTIVE / WATCH</w:t>
            </w:r>
          </w:p>
        </w:tc>
        <w:tc>
          <w:tcPr>
            <w:tcW w:type="dxa" w:w="5400"/>
            <w:tcMar>
              <w:top w:w="70" w:type="dxa"/>
              <w:start w:w="90" w:type="dxa"/>
              <w:bottom w:w="70" w:type="dxa"/>
              <w:end w:w="90" w:type="dxa"/>
            </w:tcMar>
            <w:vAlign w:val="top"/>
          </w:tcPr>
          <w:p>
            <w:pPr>
              <w:spacing w:after="0"/>
            </w:pPr>
            <w:r/>
            <w:r>
              <w:rPr>
                <w:rFonts w:ascii="Carlito" w:hAnsi="Carlito"/>
                <w:sz w:val="17"/>
              </w:rPr>
              <w:t>Leading indicators have softened, but the IMF does not corroborate a broad global downturn.</w:t>
            </w:r>
          </w:p>
        </w:tc>
      </w:tr>
      <w:tr>
        <w:trPr>
          <w:cantSplit/>
        </w:trPr>
        <w:tc>
          <w:tcPr>
            <w:tcW w:type="dxa" w:w="2448"/>
            <w:tcMar>
              <w:top w:w="70" w:type="dxa"/>
              <w:start w:w="90" w:type="dxa"/>
              <w:bottom w:w="70" w:type="dxa"/>
              <w:end w:w="90" w:type="dxa"/>
            </w:tcMar>
            <w:vAlign w:val="top"/>
            <w:shd w:fill="F3F6FA"/>
          </w:tcPr>
          <w:p>
            <w:pPr>
              <w:spacing w:after="0"/>
            </w:pPr>
            <w:r/>
            <w:r>
              <w:rPr>
                <w:rFonts w:ascii="Carlito" w:hAnsi="Carlito"/>
                <w:sz w:val="17"/>
              </w:rPr>
              <w:t>Participation Stress</w:t>
            </w:r>
          </w:p>
        </w:tc>
        <w:tc>
          <w:tcPr>
            <w:tcW w:type="dxa" w:w="2304"/>
            <w:tcMar>
              <w:top w:w="70" w:type="dxa"/>
              <w:start w:w="90" w:type="dxa"/>
              <w:bottom w:w="70" w:type="dxa"/>
              <w:end w:w="90" w:type="dxa"/>
            </w:tcMar>
            <w:vAlign w:val="top"/>
            <w:shd w:fill="F3F6FA"/>
          </w:tcPr>
          <w:p>
            <w:pPr>
              <w:spacing w:after="0"/>
            </w:pPr>
            <w:r/>
            <w:r>
              <w:rPr>
                <w:rFonts w:ascii="Carlito" w:hAnsi="Carlito"/>
                <w:sz w:val="17"/>
              </w:rPr>
              <w:t>INACTIVE / WATCH</w:t>
            </w:r>
          </w:p>
        </w:tc>
        <w:tc>
          <w:tcPr>
            <w:tcW w:type="dxa" w:w="5400"/>
            <w:tcMar>
              <w:top w:w="70" w:type="dxa"/>
              <w:start w:w="90" w:type="dxa"/>
              <w:bottom w:w="70" w:type="dxa"/>
              <w:end w:w="90" w:type="dxa"/>
            </w:tcMar>
            <w:vAlign w:val="top"/>
            <w:shd w:fill="F3F6FA"/>
          </w:tcPr>
          <w:p>
            <w:pPr>
              <w:spacing w:after="0"/>
            </w:pPr>
            <w:r/>
            <w:r>
              <w:rPr>
                <w:rFonts w:ascii="Carlito" w:hAnsi="Carlito"/>
                <w:sz w:val="17"/>
              </w:rPr>
              <w:t>Job quality and labor share are weak, but broad global access-to-work deterioration has not crossed the frozen trigger.</w:t>
            </w:r>
          </w:p>
        </w:tc>
      </w:tr>
    </w:tbl>
    <w:p>
      <w:pPr>
        <w:spacing w:after="20"/>
      </w:pPr>
    </w:p>
    <w:p>
      <w:pPr>
        <w:spacing w:after="100" w:before="0" w:line="259" w:lineRule="auto"/>
      </w:pPr>
      <w:r>
        <w:rPr>
          <w:rFonts w:ascii="Carlito" w:hAnsi="Carlito"/>
        </w:rPr>
        <w:t>The conservative treatment is deliberate. Serious problems do not automatically mean that a formal trigger has fired. v12 requires persistence and corroboration precisely to prevent the model from turning every difficult data point into another probability nudge.</w:t>
      </w:r>
    </w:p>
    <w:p>
      <w:pPr>
        <w:pStyle w:val="Heading1"/>
        <w:spacing w:after="100" w:before="0" w:line="259" w:lineRule="auto"/>
      </w:pPr>
      <w:r>
        <w:rPr>
          <w:rFonts w:ascii="Carlito" w:hAnsi="Carlito"/>
        </w:rPr>
        <w:t>8. Initial Posture Likelihood</w:t>
      </w:r>
    </w:p>
    <w:p>
      <w:pPr>
        <w:spacing w:after="100" w:before="0" w:line="259" w:lineRule="auto"/>
      </w:pPr>
      <w:r>
        <w:rPr>
          <w:rFonts w:ascii="Carlito" w:hAnsi="Carlito"/>
        </w:rPr>
        <w:t>The Posture Likelihood layer is the major conceptual addition in v12. It asks a question the older model left implicit: even if DTR would produce better conditional outcomes, how likely is it that leaders will actually adopt that posture?</w:t>
      </w:r>
    </w:p>
    <w:p>
      <w:pPr>
        <w:spacing w:after="100" w:before="0" w:line="259" w:lineRule="auto"/>
      </w:pPr>
      <w:r>
        <w:rPr>
          <w:rFonts w:ascii="Carlito" w:hAnsi="Carlito"/>
        </w:rPr>
        <w:t>There is meaningful evidence for DTR. Europe has moved some AI transparency obligations into implementation. Multilateral evidence and dialogue mechanisms are becoming more substantial. Major grid systems show that coordinated investment can improve resilience. These developments make a zero DTR probability indefensible.</w:t>
      </w:r>
    </w:p>
    <w:p>
      <w:pPr>
        <w:spacing w:after="100" w:before="0" w:line="259" w:lineRule="auto"/>
      </w:pPr>
      <w:r>
        <w:rPr>
          <w:rFonts w:ascii="Carlito" w:hAnsi="Carlito"/>
        </w:rPr>
        <w:t>The larger system nevertheless remains more consistent with LIR. Productive compute is concentrated, the Wealth-Diffusion Gate is closed, trust and integrity measures are weak, global coordination is still mostly deliberative, and the dominant frontier-AI political economy continues to reward scale, speed and competitive advantage.</w:t>
      </w:r>
    </w:p>
    <w:tbl>
      <w:tblPr>
        <w:tblStyle w:val="TableGrid"/>
        <w:tblW w:type="auto" w:w="0"/>
        <w:jc w:val="center"/>
        <w:tblLook w:firstColumn="1" w:firstRow="1" w:lastColumn="0" w:lastRow="0" w:noHBand="0" w:noVBand="1" w:val="04A0"/>
      </w:tblPr>
      <w:tblGrid>
        <w:gridCol w:w="10051"/>
      </w:tblGrid>
      <w:tr>
        <w:trPr>
          <w:cantSplit/>
        </w:trPr>
        <w:tc>
          <w:tcPr>
            <w:tcW w:type="dxa" w:w="10051"/>
            <w:shd w:fill="D9EAF7"/>
            <w:tcMar>
              <w:top w:w="120" w:type="dxa"/>
              <w:start w:w="160" w:type="dxa"/>
              <w:bottom w:w="120" w:type="dxa"/>
              <w:end w:w="160" w:type="dxa"/>
            </w:tcMar>
          </w:tcPr>
          <w:p>
            <w:pPr>
              <w:spacing w:after="60"/>
            </w:pPr>
            <w:r>
              <w:rPr>
                <w:rFonts w:ascii="Carlito" w:hAnsi="Carlito"/>
                <w:b/>
                <w:color w:val="17365D"/>
                <w:sz w:val="22"/>
              </w:rPr>
              <w:t>Baseline posture judgment</w:t>
            </w:r>
          </w:p>
          <w:p>
            <w:pPr>
              <w:spacing w:after="0" w:line="259" w:lineRule="auto"/>
            </w:pPr>
            <w:r>
              <w:rPr>
                <w:rFonts w:ascii="Carlito" w:hAnsi="Carlito"/>
                <w:sz w:val="20"/>
              </w:rPr>
              <w:t>P(DTR) = 10% and P(LIR) = 90%. A reasonable sensitivity range is DTR 7-15%. The 10% figure is an explicit model judgment, not an observed statistical frequency.</w:t>
            </w:r>
          </w:p>
        </w:tc>
      </w:tr>
    </w:tbl>
    <w:p>
      <w:pPr>
        <w:spacing w:after="20"/>
      </w:pPr>
    </w:p>
    <w:p>
      <w:pPr>
        <w:pStyle w:val="Heading1"/>
        <w:spacing w:after="100" w:before="0" w:line="259" w:lineRule="auto"/>
      </w:pPr>
      <w:r>
        <w:rPr>
          <w:rFonts w:ascii="Carlito" w:hAnsi="Carlito"/>
        </w:rPr>
        <w:t>9. Posture-weighted outcome probabilities</w:t>
      </w:r>
    </w:p>
    <w:p>
      <w:pPr>
        <w:spacing w:after="100" w:before="0" w:line="259" w:lineRule="auto"/>
      </w:pPr>
      <w:r>
        <w:rPr>
          <w:rFonts w:ascii="Carlito" w:hAnsi="Carlito"/>
        </w:rPr>
        <w:t>v12 combines posture likelihood with the inherited conditional outcome probabilities. For each outcome O:</w:t>
      </w:r>
    </w:p>
    <w:p>
      <w:pPr>
        <w:spacing w:before="120" w:after="160"/>
        <w:ind w:left="504" w:right="504"/>
      </w:pPr>
      <w:r>
        <w:rPr>
          <w:rFonts w:ascii="Carlito" w:hAnsi="Carlito"/>
          <w:b/>
          <w:i/>
          <w:color w:val="17365D"/>
          <w:sz w:val="23"/>
        </w:rPr>
        <w:t>P(O) = P(DTR) x P(O | DTR) + P(LIR) x P(O | LIR)</w:t>
      </w:r>
    </w:p>
    <w:tbl>
      <w:tblPr>
        <w:tblStyle w:val="TableGrid"/>
        <w:tblW w:type="auto" w:w="0"/>
        <w:jc w:val="center"/>
        <w:tblLayout w:type="autofit"/>
        <w:tblLook w:firstColumn="1" w:firstRow="1" w:lastColumn="0" w:lastRow="0" w:noHBand="0" w:noVBand="1" w:val="04A0"/>
      </w:tblPr>
      <w:tblGrid>
        <w:gridCol w:w="2513"/>
        <w:gridCol w:w="2513"/>
        <w:gridCol w:w="2513"/>
        <w:gridCol w:w="2513"/>
      </w:tblGrid>
      <w:tr>
        <w:trPr>
          <w:tblHeader w:val="true"/>
          <w:cantSplit/>
        </w:trPr>
        <w:tc>
          <w:tcPr>
            <w:tcW w:type="dxa" w:w="3600"/>
            <w:shd w:fill="17365D"/>
            <w:tcMar>
              <w:top w:w="70" w:type="dxa"/>
              <w:start w:w="90" w:type="dxa"/>
              <w:bottom w:w="70" w:type="dxa"/>
              <w:end w:w="90" w:type="dxa"/>
            </w:tcMar>
            <w:vAlign w:val="center"/>
          </w:tcPr>
          <w:p>
            <w:pPr>
              <w:spacing w:after="0"/>
            </w:pPr>
            <w:r/>
            <w:r>
              <w:rPr>
                <w:rFonts w:ascii="Carlito" w:hAnsi="Carlito"/>
                <w:b/>
                <w:color w:val="FFFFFF"/>
                <w:sz w:val="18"/>
              </w:rPr>
              <w:t>Outcome</w:t>
            </w:r>
          </w:p>
        </w:tc>
        <w:tc>
          <w:tcPr>
            <w:tcW w:type="dxa" w:w="2088"/>
            <w:shd w:fill="17365D"/>
            <w:tcMar>
              <w:top w:w="70" w:type="dxa"/>
              <w:start w:w="90" w:type="dxa"/>
              <w:bottom w:w="70" w:type="dxa"/>
              <w:end w:w="90" w:type="dxa"/>
            </w:tcMar>
            <w:vAlign w:val="center"/>
          </w:tcPr>
          <w:p>
            <w:pPr>
              <w:spacing w:after="0"/>
            </w:pPr>
            <w:r/>
            <w:r>
              <w:rPr>
                <w:rFonts w:ascii="Carlito" w:hAnsi="Carlito"/>
                <w:b/>
                <w:color w:val="FFFFFF"/>
                <w:sz w:val="18"/>
              </w:rPr>
              <w:t>2030</w:t>
            </w:r>
          </w:p>
        </w:tc>
        <w:tc>
          <w:tcPr>
            <w:tcW w:type="dxa" w:w="2088"/>
            <w:shd w:fill="17365D"/>
            <w:tcMar>
              <w:top w:w="70" w:type="dxa"/>
              <w:start w:w="90" w:type="dxa"/>
              <w:bottom w:w="70" w:type="dxa"/>
              <w:end w:w="90" w:type="dxa"/>
            </w:tcMar>
            <w:vAlign w:val="center"/>
          </w:tcPr>
          <w:p>
            <w:pPr>
              <w:spacing w:after="0"/>
            </w:pPr>
            <w:r/>
            <w:r>
              <w:rPr>
                <w:rFonts w:ascii="Carlito" w:hAnsi="Carlito"/>
                <w:b/>
                <w:color w:val="FFFFFF"/>
                <w:sz w:val="18"/>
              </w:rPr>
              <w:t>2040</w:t>
            </w:r>
          </w:p>
        </w:tc>
        <w:tc>
          <w:tcPr>
            <w:tcW w:type="dxa" w:w="2088"/>
            <w:shd w:fill="17365D"/>
            <w:tcMar>
              <w:top w:w="70" w:type="dxa"/>
              <w:start w:w="90" w:type="dxa"/>
              <w:bottom w:w="70" w:type="dxa"/>
              <w:end w:w="90" w:type="dxa"/>
            </w:tcMar>
            <w:vAlign w:val="center"/>
          </w:tcPr>
          <w:p>
            <w:pPr>
              <w:spacing w:after="0"/>
            </w:pPr>
            <w:r/>
            <w:r>
              <w:rPr>
                <w:rFonts w:ascii="Carlito" w:hAnsi="Carlito"/>
                <w:b/>
                <w:color w:val="FFFFFF"/>
                <w:sz w:val="18"/>
              </w:rPr>
              <w:t>2050</w:t>
            </w:r>
          </w:p>
        </w:tc>
      </w:tr>
      <w:tr>
        <w:trPr>
          <w:cantSplit/>
        </w:trPr>
        <w:tc>
          <w:tcPr>
            <w:tcW w:type="dxa" w:w="3600"/>
            <w:tcMar>
              <w:top w:w="70" w:type="dxa"/>
              <w:start w:w="90" w:type="dxa"/>
              <w:bottom w:w="70" w:type="dxa"/>
              <w:end w:w="90" w:type="dxa"/>
            </w:tcMar>
            <w:vAlign w:val="top"/>
          </w:tcPr>
          <w:p>
            <w:pPr>
              <w:spacing w:after="0"/>
            </w:pPr>
            <w:r/>
            <w:r>
              <w:rPr>
                <w:rFonts w:ascii="Carlito" w:hAnsi="Carlito"/>
                <w:sz w:val="18"/>
              </w:rPr>
              <w:t>Full Empowerment</w:t>
            </w:r>
          </w:p>
        </w:tc>
        <w:tc>
          <w:tcPr>
            <w:tcW w:type="dxa" w:w="2088"/>
            <w:tcMar>
              <w:top w:w="70" w:type="dxa"/>
              <w:start w:w="90" w:type="dxa"/>
              <w:bottom w:w="70" w:type="dxa"/>
              <w:end w:w="90" w:type="dxa"/>
            </w:tcMar>
            <w:vAlign w:val="top"/>
          </w:tcPr>
          <w:p>
            <w:pPr>
              <w:spacing w:after="0"/>
            </w:pPr>
            <w:r/>
            <w:r>
              <w:rPr>
                <w:rFonts w:ascii="Carlito" w:hAnsi="Carlito"/>
                <w:sz w:val="18"/>
              </w:rPr>
              <w:t>0.3%</w:t>
            </w:r>
          </w:p>
        </w:tc>
        <w:tc>
          <w:tcPr>
            <w:tcW w:type="dxa" w:w="2088"/>
            <w:tcMar>
              <w:top w:w="70" w:type="dxa"/>
              <w:start w:w="90" w:type="dxa"/>
              <w:bottom w:w="70" w:type="dxa"/>
              <w:end w:w="90" w:type="dxa"/>
            </w:tcMar>
            <w:vAlign w:val="top"/>
          </w:tcPr>
          <w:p>
            <w:pPr>
              <w:spacing w:after="0"/>
            </w:pPr>
            <w:r/>
            <w:r>
              <w:rPr>
                <w:rFonts w:ascii="Carlito" w:hAnsi="Carlito"/>
                <w:sz w:val="18"/>
              </w:rPr>
              <w:t>0.7%</w:t>
            </w:r>
          </w:p>
        </w:tc>
        <w:tc>
          <w:tcPr>
            <w:tcW w:type="dxa" w:w="2088"/>
            <w:tcMar>
              <w:top w:w="70" w:type="dxa"/>
              <w:start w:w="90" w:type="dxa"/>
              <w:bottom w:w="70" w:type="dxa"/>
              <w:end w:w="90" w:type="dxa"/>
            </w:tcMar>
            <w:vAlign w:val="top"/>
          </w:tcPr>
          <w:p>
            <w:pPr>
              <w:spacing w:after="0"/>
            </w:pPr>
            <w:r/>
            <w:r>
              <w:rPr>
                <w:rFonts w:ascii="Carlito" w:hAnsi="Carlito"/>
                <w:sz w:val="18"/>
              </w:rPr>
              <w:t>1.4%</w:t>
            </w:r>
          </w:p>
        </w:tc>
      </w:tr>
      <w:tr>
        <w:trPr>
          <w:cantSplit/>
        </w:trPr>
        <w:tc>
          <w:tcPr>
            <w:tcW w:type="dxa" w:w="3600"/>
            <w:tcMar>
              <w:top w:w="70" w:type="dxa"/>
              <w:start w:w="90" w:type="dxa"/>
              <w:bottom w:w="70" w:type="dxa"/>
              <w:end w:w="90" w:type="dxa"/>
            </w:tcMar>
            <w:vAlign w:val="top"/>
            <w:shd w:fill="F3F6FA"/>
          </w:tcPr>
          <w:p>
            <w:pPr>
              <w:spacing w:after="0"/>
            </w:pPr>
            <w:r/>
            <w:r>
              <w:rPr>
                <w:rFonts w:ascii="Carlito" w:hAnsi="Carlito"/>
                <w:sz w:val="18"/>
              </w:rPr>
              <w:t>Managed Disruption</w:t>
            </w:r>
          </w:p>
        </w:tc>
        <w:tc>
          <w:tcPr>
            <w:tcW w:type="dxa" w:w="2088"/>
            <w:tcMar>
              <w:top w:w="70" w:type="dxa"/>
              <w:start w:w="90" w:type="dxa"/>
              <w:bottom w:w="70" w:type="dxa"/>
              <w:end w:w="90" w:type="dxa"/>
            </w:tcMar>
            <w:vAlign w:val="top"/>
            <w:shd w:fill="F3F6FA"/>
          </w:tcPr>
          <w:p>
            <w:pPr>
              <w:spacing w:after="0"/>
            </w:pPr>
            <w:r/>
            <w:r>
              <w:rPr>
                <w:rFonts w:ascii="Carlito" w:hAnsi="Carlito"/>
                <w:sz w:val="18"/>
              </w:rPr>
              <w:t>3.6%</w:t>
            </w:r>
          </w:p>
        </w:tc>
        <w:tc>
          <w:tcPr>
            <w:tcW w:type="dxa" w:w="2088"/>
            <w:tcMar>
              <w:top w:w="70" w:type="dxa"/>
              <w:start w:w="90" w:type="dxa"/>
              <w:bottom w:w="70" w:type="dxa"/>
              <w:end w:w="90" w:type="dxa"/>
            </w:tcMar>
            <w:vAlign w:val="top"/>
            <w:shd w:fill="F3F6FA"/>
          </w:tcPr>
          <w:p>
            <w:pPr>
              <w:spacing w:after="0"/>
            </w:pPr>
            <w:r/>
            <w:r>
              <w:rPr>
                <w:rFonts w:ascii="Carlito" w:hAnsi="Carlito"/>
                <w:sz w:val="18"/>
              </w:rPr>
              <w:t>1.9%</w:t>
            </w:r>
          </w:p>
        </w:tc>
        <w:tc>
          <w:tcPr>
            <w:tcW w:type="dxa" w:w="2088"/>
            <w:tcMar>
              <w:top w:w="70" w:type="dxa"/>
              <w:start w:w="90" w:type="dxa"/>
              <w:bottom w:w="70" w:type="dxa"/>
              <w:end w:w="90" w:type="dxa"/>
            </w:tcMar>
            <w:vAlign w:val="top"/>
            <w:shd w:fill="F3F6FA"/>
          </w:tcPr>
          <w:p>
            <w:pPr>
              <w:spacing w:after="0"/>
            </w:pPr>
            <w:r/>
            <w:r>
              <w:rPr>
                <w:rFonts w:ascii="Carlito" w:hAnsi="Carlito"/>
                <w:sz w:val="18"/>
              </w:rPr>
              <w:t>0.6%</w:t>
            </w:r>
          </w:p>
        </w:tc>
      </w:tr>
      <w:tr>
        <w:trPr>
          <w:cantSplit/>
        </w:trPr>
        <w:tc>
          <w:tcPr>
            <w:tcW w:type="dxa" w:w="3600"/>
            <w:tcMar>
              <w:top w:w="70" w:type="dxa"/>
              <w:start w:w="90" w:type="dxa"/>
              <w:bottom w:w="70" w:type="dxa"/>
              <w:end w:w="90" w:type="dxa"/>
            </w:tcMar>
            <w:vAlign w:val="top"/>
          </w:tcPr>
          <w:p>
            <w:pPr>
              <w:spacing w:after="0"/>
            </w:pPr>
            <w:r/>
            <w:r>
              <w:rPr>
                <w:rFonts w:ascii="Carlito" w:hAnsi="Carlito"/>
                <w:sz w:val="18"/>
              </w:rPr>
              <w:t>Uneven Transition</w:t>
            </w:r>
          </w:p>
        </w:tc>
        <w:tc>
          <w:tcPr>
            <w:tcW w:type="dxa" w:w="2088"/>
            <w:tcMar>
              <w:top w:w="70" w:type="dxa"/>
              <w:start w:w="90" w:type="dxa"/>
              <w:bottom w:w="70" w:type="dxa"/>
              <w:end w:w="90" w:type="dxa"/>
            </w:tcMar>
            <w:vAlign w:val="top"/>
          </w:tcPr>
          <w:p>
            <w:pPr>
              <w:spacing w:after="0"/>
            </w:pPr>
            <w:r/>
            <w:r>
              <w:rPr>
                <w:rFonts w:ascii="Carlito" w:hAnsi="Carlito"/>
                <w:sz w:val="18"/>
              </w:rPr>
              <w:t>25.5%</w:t>
            </w:r>
          </w:p>
        </w:tc>
        <w:tc>
          <w:tcPr>
            <w:tcW w:type="dxa" w:w="2088"/>
            <w:tcMar>
              <w:top w:w="70" w:type="dxa"/>
              <w:start w:w="90" w:type="dxa"/>
              <w:bottom w:w="70" w:type="dxa"/>
              <w:end w:w="90" w:type="dxa"/>
            </w:tcMar>
            <w:vAlign w:val="top"/>
          </w:tcPr>
          <w:p>
            <w:pPr>
              <w:spacing w:after="0"/>
            </w:pPr>
            <w:r/>
            <w:r>
              <w:rPr>
                <w:rFonts w:ascii="Carlito" w:hAnsi="Carlito"/>
                <w:sz w:val="18"/>
              </w:rPr>
              <w:t>10.3%</w:t>
            </w:r>
          </w:p>
        </w:tc>
        <w:tc>
          <w:tcPr>
            <w:tcW w:type="dxa" w:w="2088"/>
            <w:tcMar>
              <w:top w:w="70" w:type="dxa"/>
              <w:start w:w="90" w:type="dxa"/>
              <w:bottom w:w="70" w:type="dxa"/>
              <w:end w:w="90" w:type="dxa"/>
            </w:tcMar>
            <w:vAlign w:val="top"/>
          </w:tcPr>
          <w:p>
            <w:pPr>
              <w:spacing w:after="0"/>
            </w:pPr>
            <w:r/>
            <w:r>
              <w:rPr>
                <w:rFonts w:ascii="Carlito" w:hAnsi="Carlito"/>
                <w:sz w:val="18"/>
              </w:rPr>
              <w:t>3.6%</w:t>
            </w:r>
          </w:p>
        </w:tc>
      </w:tr>
      <w:tr>
        <w:trPr>
          <w:cantSplit/>
        </w:trPr>
        <w:tc>
          <w:tcPr>
            <w:tcW w:type="dxa" w:w="3600"/>
            <w:tcMar>
              <w:top w:w="70" w:type="dxa"/>
              <w:start w:w="90" w:type="dxa"/>
              <w:bottom w:w="70" w:type="dxa"/>
              <w:end w:w="90" w:type="dxa"/>
            </w:tcMar>
            <w:vAlign w:val="top"/>
            <w:shd w:fill="F3F6FA"/>
          </w:tcPr>
          <w:p>
            <w:pPr>
              <w:spacing w:after="0"/>
            </w:pPr>
            <w:r/>
            <w:r>
              <w:rPr>
                <w:rFonts w:ascii="Carlito" w:hAnsi="Carlito"/>
                <w:sz w:val="18"/>
              </w:rPr>
              <w:t>Lost Control</w:t>
            </w:r>
          </w:p>
        </w:tc>
        <w:tc>
          <w:tcPr>
            <w:tcW w:type="dxa" w:w="2088"/>
            <w:tcMar>
              <w:top w:w="70" w:type="dxa"/>
              <w:start w:w="90" w:type="dxa"/>
              <w:bottom w:w="70" w:type="dxa"/>
              <w:end w:w="90" w:type="dxa"/>
            </w:tcMar>
            <w:vAlign w:val="top"/>
            <w:shd w:fill="F3F6FA"/>
          </w:tcPr>
          <w:p>
            <w:pPr>
              <w:spacing w:after="0"/>
            </w:pPr>
            <w:r/>
            <w:r>
              <w:rPr>
                <w:rFonts w:ascii="Carlito" w:hAnsi="Carlito"/>
                <w:sz w:val="18"/>
              </w:rPr>
              <w:t>70.6%</w:t>
            </w:r>
          </w:p>
        </w:tc>
        <w:tc>
          <w:tcPr>
            <w:tcW w:type="dxa" w:w="2088"/>
            <w:tcMar>
              <w:top w:w="70" w:type="dxa"/>
              <w:start w:w="90" w:type="dxa"/>
              <w:bottom w:w="70" w:type="dxa"/>
              <w:end w:w="90" w:type="dxa"/>
            </w:tcMar>
            <w:vAlign w:val="top"/>
            <w:shd w:fill="F3F6FA"/>
          </w:tcPr>
          <w:p>
            <w:pPr>
              <w:spacing w:after="0"/>
            </w:pPr>
            <w:r/>
            <w:r>
              <w:rPr>
                <w:rFonts w:ascii="Carlito" w:hAnsi="Carlito"/>
                <w:sz w:val="18"/>
              </w:rPr>
              <w:t>87.1%</w:t>
            </w:r>
          </w:p>
        </w:tc>
        <w:tc>
          <w:tcPr>
            <w:tcW w:type="dxa" w:w="2088"/>
            <w:tcMar>
              <w:top w:w="70" w:type="dxa"/>
              <w:start w:w="90" w:type="dxa"/>
              <w:bottom w:w="70" w:type="dxa"/>
              <w:end w:w="90" w:type="dxa"/>
            </w:tcMar>
            <w:vAlign w:val="top"/>
            <w:shd w:fill="F3F6FA"/>
          </w:tcPr>
          <w:p>
            <w:pPr>
              <w:spacing w:after="0"/>
            </w:pPr>
            <w:r/>
            <w:r>
              <w:rPr>
                <w:rFonts w:ascii="Carlito" w:hAnsi="Carlito"/>
                <w:sz w:val="18"/>
              </w:rPr>
              <w:t>94.4%</w:t>
            </w:r>
          </w:p>
        </w:tc>
      </w:tr>
    </w:tbl>
    <w:p>
      <w:pPr>
        <w:spacing w:after="20"/>
      </w:pPr>
    </w:p>
    <w:p>
      <w:pPr>
        <w:spacing w:after="100" w:before="0" w:line="259" w:lineRule="auto"/>
      </w:pPr>
      <w:r>
        <w:rPr>
          <w:rFonts w:ascii="Carlito" w:hAnsi="Carlito"/>
        </w:rPr>
        <w:t>The significance of this table is not that v12 has mechanically become more pessimistic. The conditional scenarios have not moved at all. The difference is that the model now weights those scenarios by an explicit judgment about the policy posture the world is actually following.</w:t>
      </w:r>
    </w:p>
    <w:p>
      <w:pPr>
        <w:pStyle w:val="Heading2"/>
        <w:spacing w:after="100" w:before="0" w:line="259" w:lineRule="auto"/>
      </w:pPr>
      <w:r>
        <w:rPr>
          <w:rFonts w:ascii="Carlito" w:hAnsi="Carlito"/>
        </w:rPr>
        <w:t>9.1 Sensitivity to the posture baseline</w:t>
      </w:r>
    </w:p>
    <w:tbl>
      <w:tblPr>
        <w:tblStyle w:val="TableGrid"/>
        <w:tblW w:type="auto" w:w="0"/>
        <w:jc w:val="center"/>
        <w:tblLayout w:type="autofit"/>
        <w:tblLook w:firstColumn="1" w:firstRow="1" w:lastColumn="0" w:lastRow="0" w:noHBand="0" w:noVBand="1" w:val="04A0"/>
      </w:tblPr>
      <w:tblGrid>
        <w:gridCol w:w="2513"/>
        <w:gridCol w:w="2513"/>
        <w:gridCol w:w="2513"/>
        <w:gridCol w:w="2513"/>
      </w:tblGrid>
      <w:tr>
        <w:trPr>
          <w:tblHeader w:val="true"/>
          <w:cantSplit/>
        </w:trPr>
        <w:tc>
          <w:tcPr>
            <w:tcW w:type="dxa" w:w="3600"/>
            <w:shd w:fill="17365D"/>
            <w:tcMar>
              <w:top w:w="70" w:type="dxa"/>
              <w:start w:w="90" w:type="dxa"/>
              <w:bottom w:w="70" w:type="dxa"/>
              <w:end w:w="90" w:type="dxa"/>
            </w:tcMar>
            <w:vAlign w:val="center"/>
          </w:tcPr>
          <w:p>
            <w:pPr>
              <w:spacing w:after="0"/>
            </w:pPr>
            <w:r/>
            <w:r>
              <w:rPr>
                <w:rFonts w:ascii="Carlito" w:hAnsi="Carlito"/>
                <w:b/>
                <w:color w:val="FFFFFF"/>
                <w:sz w:val="18"/>
              </w:rPr>
              <w:t>DTR assumption</w:t>
            </w:r>
          </w:p>
        </w:tc>
        <w:tc>
          <w:tcPr>
            <w:tcW w:type="dxa" w:w="2160"/>
            <w:shd w:fill="17365D"/>
            <w:tcMar>
              <w:top w:w="70" w:type="dxa"/>
              <w:start w:w="90" w:type="dxa"/>
              <w:bottom w:w="70" w:type="dxa"/>
              <w:end w:w="90" w:type="dxa"/>
            </w:tcMar>
            <w:vAlign w:val="center"/>
          </w:tcPr>
          <w:p>
            <w:pPr>
              <w:spacing w:after="0"/>
            </w:pPr>
            <w:r/>
            <w:r>
              <w:rPr>
                <w:rFonts w:ascii="Carlito" w:hAnsi="Carlito"/>
                <w:b/>
                <w:color w:val="FFFFFF"/>
                <w:sz w:val="18"/>
              </w:rPr>
              <w:t>2030 LC</w:t>
            </w:r>
          </w:p>
        </w:tc>
        <w:tc>
          <w:tcPr>
            <w:tcW w:type="dxa" w:w="2160"/>
            <w:shd w:fill="17365D"/>
            <w:tcMar>
              <w:top w:w="70" w:type="dxa"/>
              <w:start w:w="90" w:type="dxa"/>
              <w:bottom w:w="70" w:type="dxa"/>
              <w:end w:w="90" w:type="dxa"/>
            </w:tcMar>
            <w:vAlign w:val="center"/>
          </w:tcPr>
          <w:p>
            <w:pPr>
              <w:spacing w:after="0"/>
            </w:pPr>
            <w:r/>
            <w:r>
              <w:rPr>
                <w:rFonts w:ascii="Carlito" w:hAnsi="Carlito"/>
                <w:b/>
                <w:color w:val="FFFFFF"/>
                <w:sz w:val="18"/>
              </w:rPr>
              <w:t>2040 LC</w:t>
            </w:r>
          </w:p>
        </w:tc>
        <w:tc>
          <w:tcPr>
            <w:tcW w:type="dxa" w:w="2160"/>
            <w:shd w:fill="17365D"/>
            <w:tcMar>
              <w:top w:w="70" w:type="dxa"/>
              <w:start w:w="90" w:type="dxa"/>
              <w:bottom w:w="70" w:type="dxa"/>
              <w:end w:w="90" w:type="dxa"/>
            </w:tcMar>
            <w:vAlign w:val="center"/>
          </w:tcPr>
          <w:p>
            <w:pPr>
              <w:spacing w:after="0"/>
            </w:pPr>
            <w:r/>
            <w:r>
              <w:rPr>
                <w:rFonts w:ascii="Carlito" w:hAnsi="Carlito"/>
                <w:b/>
                <w:color w:val="FFFFFF"/>
                <w:sz w:val="18"/>
              </w:rPr>
              <w:t>2050 LC</w:t>
            </w:r>
          </w:p>
        </w:tc>
      </w:tr>
      <w:tr>
        <w:trPr>
          <w:cantSplit/>
        </w:trPr>
        <w:tc>
          <w:tcPr>
            <w:tcW w:type="dxa" w:w="3600"/>
            <w:tcMar>
              <w:top w:w="70" w:type="dxa"/>
              <w:start w:w="90" w:type="dxa"/>
              <w:bottom w:w="70" w:type="dxa"/>
              <w:end w:w="90" w:type="dxa"/>
            </w:tcMar>
            <w:vAlign w:val="top"/>
          </w:tcPr>
          <w:p>
            <w:pPr>
              <w:spacing w:after="0"/>
            </w:pPr>
            <w:r/>
            <w:r>
              <w:rPr>
                <w:rFonts w:ascii="Carlito" w:hAnsi="Carlito"/>
                <w:sz w:val="18"/>
              </w:rPr>
              <w:t>7% DTR</w:t>
            </w:r>
          </w:p>
        </w:tc>
        <w:tc>
          <w:tcPr>
            <w:tcW w:type="dxa" w:w="2160"/>
            <w:tcMar>
              <w:top w:w="70" w:type="dxa"/>
              <w:start w:w="90" w:type="dxa"/>
              <w:bottom w:w="70" w:type="dxa"/>
              <w:end w:w="90" w:type="dxa"/>
            </w:tcMar>
            <w:vAlign w:val="top"/>
          </w:tcPr>
          <w:p>
            <w:pPr>
              <w:spacing w:after="0"/>
            </w:pPr>
            <w:r/>
            <w:r>
              <w:rPr>
                <w:rFonts w:ascii="Carlito" w:hAnsi="Carlito"/>
                <w:sz w:val="18"/>
              </w:rPr>
              <w:t>72.2%</w:t>
            </w:r>
          </w:p>
        </w:tc>
        <w:tc>
          <w:tcPr>
            <w:tcW w:type="dxa" w:w="2160"/>
            <w:tcMar>
              <w:top w:w="70" w:type="dxa"/>
              <w:start w:w="90" w:type="dxa"/>
              <w:bottom w:w="70" w:type="dxa"/>
              <w:end w:w="90" w:type="dxa"/>
            </w:tcMar>
            <w:vAlign w:val="top"/>
          </w:tcPr>
          <w:p>
            <w:pPr>
              <w:spacing w:after="0"/>
            </w:pPr>
            <w:r/>
            <w:r>
              <w:rPr>
                <w:rFonts w:ascii="Carlito" w:hAnsi="Carlito"/>
                <w:sz w:val="18"/>
              </w:rPr>
              <w:t>88.6%</w:t>
            </w:r>
          </w:p>
        </w:tc>
        <w:tc>
          <w:tcPr>
            <w:tcW w:type="dxa" w:w="2160"/>
            <w:tcMar>
              <w:top w:w="70" w:type="dxa"/>
              <w:start w:w="90" w:type="dxa"/>
              <w:bottom w:w="70" w:type="dxa"/>
              <w:end w:w="90" w:type="dxa"/>
            </w:tcMar>
            <w:vAlign w:val="top"/>
          </w:tcPr>
          <w:p>
            <w:pPr>
              <w:spacing w:after="0"/>
            </w:pPr>
            <w:r/>
            <w:r>
              <w:rPr>
                <w:rFonts w:ascii="Carlito" w:hAnsi="Carlito"/>
                <w:sz w:val="18"/>
              </w:rPr>
              <w:t>95.8%</w:t>
            </w:r>
          </w:p>
        </w:tc>
      </w:tr>
      <w:tr>
        <w:trPr>
          <w:cantSplit/>
        </w:trPr>
        <w:tc>
          <w:tcPr>
            <w:tcW w:type="dxa" w:w="3600"/>
            <w:tcMar>
              <w:top w:w="70" w:type="dxa"/>
              <w:start w:w="90" w:type="dxa"/>
              <w:bottom w:w="70" w:type="dxa"/>
              <w:end w:w="90" w:type="dxa"/>
            </w:tcMar>
            <w:vAlign w:val="top"/>
            <w:shd w:fill="F3F6FA"/>
          </w:tcPr>
          <w:p>
            <w:pPr>
              <w:spacing w:after="0"/>
            </w:pPr>
            <w:r/>
            <w:r>
              <w:rPr>
                <w:rFonts w:ascii="Carlito" w:hAnsi="Carlito"/>
                <w:sz w:val="18"/>
              </w:rPr>
              <w:t>10% DTR</w:t>
            </w:r>
          </w:p>
        </w:tc>
        <w:tc>
          <w:tcPr>
            <w:tcW w:type="dxa" w:w="2160"/>
            <w:tcMar>
              <w:top w:w="70" w:type="dxa"/>
              <w:start w:w="90" w:type="dxa"/>
              <w:bottom w:w="70" w:type="dxa"/>
              <w:end w:w="90" w:type="dxa"/>
            </w:tcMar>
            <w:vAlign w:val="top"/>
            <w:shd w:fill="F3F6FA"/>
          </w:tcPr>
          <w:p>
            <w:pPr>
              <w:spacing w:after="0"/>
            </w:pPr>
            <w:r/>
            <w:r>
              <w:rPr>
                <w:rFonts w:ascii="Carlito" w:hAnsi="Carlito"/>
                <w:sz w:val="18"/>
              </w:rPr>
              <w:t>70.6%</w:t>
            </w:r>
          </w:p>
        </w:tc>
        <w:tc>
          <w:tcPr>
            <w:tcW w:type="dxa" w:w="2160"/>
            <w:tcMar>
              <w:top w:w="70" w:type="dxa"/>
              <w:start w:w="90" w:type="dxa"/>
              <w:bottom w:w="70" w:type="dxa"/>
              <w:end w:w="90" w:type="dxa"/>
            </w:tcMar>
            <w:vAlign w:val="top"/>
            <w:shd w:fill="F3F6FA"/>
          </w:tcPr>
          <w:p>
            <w:pPr>
              <w:spacing w:after="0"/>
            </w:pPr>
            <w:r/>
            <w:r>
              <w:rPr>
                <w:rFonts w:ascii="Carlito" w:hAnsi="Carlito"/>
                <w:sz w:val="18"/>
              </w:rPr>
              <w:t>87.1%</w:t>
            </w:r>
          </w:p>
        </w:tc>
        <w:tc>
          <w:tcPr>
            <w:tcW w:type="dxa" w:w="2160"/>
            <w:tcMar>
              <w:top w:w="70" w:type="dxa"/>
              <w:start w:w="90" w:type="dxa"/>
              <w:bottom w:w="70" w:type="dxa"/>
              <w:end w:w="90" w:type="dxa"/>
            </w:tcMar>
            <w:vAlign w:val="top"/>
            <w:shd w:fill="F3F6FA"/>
          </w:tcPr>
          <w:p>
            <w:pPr>
              <w:spacing w:after="0"/>
            </w:pPr>
            <w:r/>
            <w:r>
              <w:rPr>
                <w:rFonts w:ascii="Carlito" w:hAnsi="Carlito"/>
                <w:sz w:val="18"/>
              </w:rPr>
              <w:t>94.4%</w:t>
            </w:r>
          </w:p>
        </w:tc>
      </w:tr>
      <w:tr>
        <w:trPr>
          <w:cantSplit/>
        </w:trPr>
        <w:tc>
          <w:tcPr>
            <w:tcW w:type="dxa" w:w="3600"/>
            <w:tcMar>
              <w:top w:w="70" w:type="dxa"/>
              <w:start w:w="90" w:type="dxa"/>
              <w:bottom w:w="70" w:type="dxa"/>
              <w:end w:w="90" w:type="dxa"/>
            </w:tcMar>
            <w:vAlign w:val="top"/>
          </w:tcPr>
          <w:p>
            <w:pPr>
              <w:spacing w:after="0"/>
            </w:pPr>
            <w:r/>
            <w:r>
              <w:rPr>
                <w:rFonts w:ascii="Carlito" w:hAnsi="Carlito"/>
                <w:sz w:val="18"/>
              </w:rPr>
              <w:t>15% DTR</w:t>
            </w:r>
          </w:p>
        </w:tc>
        <w:tc>
          <w:tcPr>
            <w:tcW w:type="dxa" w:w="2160"/>
            <w:tcMar>
              <w:top w:w="70" w:type="dxa"/>
              <w:start w:w="90" w:type="dxa"/>
              <w:bottom w:w="70" w:type="dxa"/>
              <w:end w:w="90" w:type="dxa"/>
            </w:tcMar>
            <w:vAlign w:val="top"/>
          </w:tcPr>
          <w:p>
            <w:pPr>
              <w:spacing w:after="0"/>
            </w:pPr>
            <w:r/>
            <w:r>
              <w:rPr>
                <w:rFonts w:ascii="Carlito" w:hAnsi="Carlito"/>
                <w:sz w:val="18"/>
              </w:rPr>
              <w:t>67.9%</w:t>
            </w:r>
          </w:p>
        </w:tc>
        <w:tc>
          <w:tcPr>
            <w:tcW w:type="dxa" w:w="2160"/>
            <w:tcMar>
              <w:top w:w="70" w:type="dxa"/>
              <w:start w:w="90" w:type="dxa"/>
              <w:bottom w:w="70" w:type="dxa"/>
              <w:end w:w="90" w:type="dxa"/>
            </w:tcMar>
            <w:vAlign w:val="top"/>
          </w:tcPr>
          <w:p>
            <w:pPr>
              <w:spacing w:after="0"/>
            </w:pPr>
            <w:r/>
            <w:r>
              <w:rPr>
                <w:rFonts w:ascii="Carlito" w:hAnsi="Carlito"/>
                <w:sz w:val="18"/>
              </w:rPr>
              <w:t>84.7%</w:t>
            </w:r>
          </w:p>
        </w:tc>
        <w:tc>
          <w:tcPr>
            <w:tcW w:type="dxa" w:w="2160"/>
            <w:tcMar>
              <w:top w:w="70" w:type="dxa"/>
              <w:start w:w="90" w:type="dxa"/>
              <w:bottom w:w="70" w:type="dxa"/>
              <w:end w:w="90" w:type="dxa"/>
            </w:tcMar>
            <w:vAlign w:val="top"/>
          </w:tcPr>
          <w:p>
            <w:pPr>
              <w:spacing w:after="0"/>
            </w:pPr>
            <w:r/>
            <w:r>
              <w:rPr>
                <w:rFonts w:ascii="Carlito" w:hAnsi="Carlito"/>
                <w:sz w:val="18"/>
              </w:rPr>
              <w:t>92.1%</w:t>
            </w:r>
          </w:p>
        </w:tc>
      </w:tr>
    </w:tbl>
    <w:p>
      <w:pPr>
        <w:spacing w:after="20"/>
      </w:pPr>
    </w:p>
    <w:p>
      <w:pPr>
        <w:spacing w:after="100" w:before="0" w:line="259" w:lineRule="auto"/>
      </w:pPr>
      <w:r>
        <w:rPr>
          <w:rFonts w:ascii="Carlito" w:hAnsi="Carlito"/>
        </w:rPr>
        <w:t>The conclusion is therefore not an artifact of whether the baseline is set at 9%, 10% or 12%. Even at the optimistic end of the stated sensitivity range, Lost Control remains the dominant posture-weighted long-run outcome.</w:t>
      </w:r>
    </w:p>
    <w:p>
      <w:r>
        <w:br w:type="page"/>
      </w:r>
    </w:p>
    <w:p>
      <w:pPr>
        <w:pStyle w:val="Heading1"/>
        <w:spacing w:after="100" w:before="0" w:line="259" w:lineRule="auto"/>
      </w:pPr>
      <w:r>
        <w:rPr>
          <w:rFonts w:ascii="Carlito" w:hAnsi="Carlito"/>
        </w:rPr>
        <w:t>10. Technical commentary</w:t>
      </w:r>
    </w:p>
    <w:p>
      <w:pPr>
        <w:pStyle w:val="Heading2"/>
        <w:spacing w:after="100" w:before="0" w:line="259" w:lineRule="auto"/>
      </w:pPr>
      <w:r>
        <w:rPr>
          <w:rFonts w:ascii="Carlito" w:hAnsi="Carlito"/>
        </w:rPr>
        <w:t>10.1 What v12 improves</w:t>
      </w:r>
    </w:p>
    <w:p>
      <w:pPr>
        <w:spacing w:after="100" w:before="0" w:line="259" w:lineRule="auto"/>
      </w:pPr>
      <w:r>
        <w:rPr>
          <w:rFonts w:ascii="Carlito" w:hAnsi="Carlito"/>
        </w:rPr>
        <w:t>The R1 exercise suggests that the v12 architecture is materially more defensible than v11.9 in four respects. First, compute is now measured as productive infrastructure rather than broadband quality. Second, institutional trust is visible as a structural condition rather than being inferred from internet outages. Third, economic growth and productivity are explicitly reported, which prevents the model from defining success only through social indicators. Fourth, the new Posture Likelihood layer separates the conditional value of DTR from the practical likelihood that the world will choose it.</w:t>
      </w:r>
    </w:p>
    <w:p>
      <w:pPr>
        <w:spacing w:after="100" w:before="0" w:line="259" w:lineRule="auto"/>
      </w:pPr>
      <w:r>
        <w:rPr>
          <w:rFonts w:ascii="Carlito" w:hAnsi="Carlito"/>
        </w:rPr>
        <w:t>This matters especially because the current evidence is not a simple story of collapse. Growth, productivity, energy resilience, financial inclusion and elements of AI governance all provide positive signals. A weaker model could miss those positives. A conventional growth model could equally miss the fact that the gains remain concentrated and institutionally difficult to govern. v12 is designed to hold both ideas at once.</w:t>
      </w:r>
    </w:p>
    <w:p>
      <w:pPr>
        <w:pStyle w:val="Heading2"/>
        <w:spacing w:after="100" w:before="0" w:line="259" w:lineRule="auto"/>
      </w:pPr>
      <w:r>
        <w:rPr>
          <w:rFonts w:ascii="Carlito" w:hAnsi="Carlito"/>
        </w:rPr>
        <w:t>10.2 Why R1 does not move the conditional odds</w:t>
      </w:r>
    </w:p>
    <w:p>
      <w:pPr>
        <w:spacing w:after="100" w:before="0" w:line="259" w:lineRule="auto"/>
      </w:pPr>
      <w:r>
        <w:rPr>
          <w:rFonts w:ascii="Carlito" w:hAnsi="Carlito"/>
        </w:rPr>
        <w:t>R1 is a transition exercise. Several indicators are new or have been redefined. Allowing a new indicator to move the odds immediately would mix methodological change with evidence change. The architecture therefore freezes the inherited conditional probabilities and treats the first v12 observations as baselines. Future runs can move those probabilities only after eligible new vintages establish persistence and corroboration.</w:t>
      </w:r>
    </w:p>
    <w:p>
      <w:pPr>
        <w:spacing w:after="100" w:before="0" w:line="259" w:lineRule="auto"/>
      </w:pPr>
      <w:r>
        <w:rPr>
          <w:rFonts w:ascii="Carlito" w:hAnsi="Carlito"/>
        </w:rPr>
        <w:t>This is conservative, but it improves auditability. A critic can distinguish a change in the world from a change in how the model measures the world.</w:t>
      </w:r>
    </w:p>
    <w:p>
      <w:pPr>
        <w:pStyle w:val="Heading2"/>
        <w:spacing w:after="100" w:before="0" w:line="259" w:lineRule="auto"/>
      </w:pPr>
      <w:r>
        <w:rPr>
          <w:rFonts w:ascii="Carlito" w:hAnsi="Carlito"/>
        </w:rPr>
        <w:t>10.3 The posture probability is the most judgment-sensitive component</w:t>
      </w:r>
    </w:p>
    <w:p>
      <w:pPr>
        <w:spacing w:after="100" w:before="0" w:line="259" w:lineRule="auto"/>
      </w:pPr>
      <w:r>
        <w:rPr>
          <w:rFonts w:ascii="Carlito" w:hAnsi="Carlito"/>
        </w:rPr>
        <w:t>The 10% DTR baseline is not estimated from a frequency model. It is a structured judgment based on implemented evidence across the six levers, the Trust Basket, the Wealth-Diffusion Gate and the broader policy environment. The architecture intentionally avoids converting a small ordinal scorecard into fake probability precision.</w:t>
      </w:r>
    </w:p>
    <w:p>
      <w:pPr>
        <w:spacing w:after="100" w:before="0" w:line="259" w:lineRule="auto"/>
      </w:pPr>
      <w:r>
        <w:rPr>
          <w:rFonts w:ascii="Carlito" w:hAnsi="Carlito"/>
        </w:rPr>
        <w:t>This makes transparency essential. Each future run must show which implemented actions count for DTR, which patterns count for LIR, and why the posture probability moves or does not move. The frozen cap of five percentage points per six-month run limits narrative overreaction.</w:t>
      </w:r>
    </w:p>
    <w:p>
      <w:pPr>
        <w:pStyle w:val="Heading2"/>
        <w:spacing w:after="100" w:before="0" w:line="259" w:lineRule="auto"/>
      </w:pPr>
      <w:r>
        <w:rPr>
          <w:rFonts w:ascii="Carlito" w:hAnsi="Carlito"/>
        </w:rPr>
        <w:t>10.4 Global aggregation is both a strength and a weakness</w:t>
      </w:r>
    </w:p>
    <w:p>
      <w:pPr>
        <w:spacing w:after="100" w:before="0" w:line="259" w:lineRule="auto"/>
      </w:pPr>
      <w:r>
        <w:rPr>
          <w:rFonts w:ascii="Carlito" w:hAnsi="Carlito"/>
        </w:rPr>
        <w:t>The global model is useful because the most consequential AI, energy, climate and financial systems cross borders. But global aggregation hides enormous variation. Europe can move toward stronger transparency rules while other jurisdictions accelerate with lighter governance. Some grids are becoming more resilient while others remain fragile. Some education systems have high teacher AI use while others remain at the starting line.</w:t>
      </w:r>
    </w:p>
    <w:p>
      <w:pPr>
        <w:spacing w:after="100" w:before="0" w:line="259" w:lineRule="auto"/>
      </w:pPr>
      <w:r>
        <w:rPr>
          <w:rFonts w:ascii="Carlito" w:hAnsi="Carlito"/>
        </w:rPr>
        <w:t>The global run should therefore be interpreted as a system-level center of gravity, not as a verdict on every country. Country and regional applications remain Tier 3 or separate model instances unless explicitly versioned.</w:t>
      </w:r>
    </w:p>
    <w:p>
      <w:pPr>
        <w:pStyle w:val="Heading2"/>
        <w:spacing w:after="100" w:before="0" w:line="259" w:lineRule="auto"/>
      </w:pPr>
      <w:r>
        <w:rPr>
          <w:rFonts w:ascii="Carlito" w:hAnsi="Carlito"/>
        </w:rPr>
        <w:t>10.5 Data quality and vintage limitations</w:t>
      </w:r>
    </w:p>
    <w:p>
      <w:pPr>
        <w:spacing w:after="100" w:before="0" w:line="259" w:lineRule="auto"/>
      </w:pPr>
      <w:r>
        <w:rPr>
          <w:rFonts w:ascii="Carlito" w:hAnsi="Carlito"/>
        </w:rPr>
        <w:t>Several R1 evidence families are imperfect. Government effectiveness is a slow anchor whose latest observation year lags the run date. TALIS is a survey-cycle indicator. The OECD public-cloud compute pilot is methodologically useful but based on older cloud-region observations. Epoch compute ownership is modeled rather than directly observed. Gallup-derived direct trust is not uniformly available as open microdata across all countries. These are limitations, not reasons to discard the evidence.</w:t>
      </w:r>
    </w:p>
    <w:p>
      <w:pPr>
        <w:spacing w:after="100" w:before="0" w:line="259" w:lineRule="auto"/>
      </w:pPr>
      <w:r>
        <w:rPr>
          <w:rFonts w:ascii="Carlito" w:hAnsi="Carlito"/>
        </w:rPr>
        <w:t>v12 handles them through explicit source-quality labels, slow-indicator treatment, fragile-evidence caps and the rule that absence of a fresh vintage is not interpreted as movement.</w:t>
      </w:r>
    </w:p>
    <w:p>
      <w:pPr>
        <w:pStyle w:val="Heading2"/>
        <w:spacing w:after="100" w:before="0" w:line="259" w:lineRule="auto"/>
      </w:pPr>
      <w:r>
        <w:rPr>
          <w:rFonts w:ascii="Carlito" w:hAnsi="Carlito"/>
        </w:rPr>
        <w:t>10.6 Correlation and double counting</w:t>
      </w:r>
    </w:p>
    <w:p>
      <w:pPr>
        <w:spacing w:after="100" w:before="0" w:line="259" w:lineRule="auto"/>
      </w:pPr>
      <w:r>
        <w:rPr>
          <w:rFonts w:ascii="Carlito" w:hAnsi="Carlito"/>
        </w:rPr>
        <w:t>A further technical risk is that several indicators may respond to the same underlying shock. Weak governance can reduce trust, impede grid investment, worsen distribution and weaken coordination at the same time. v12 reduces this problem through the family rule: several closely related sub-indicators count as one evidence family rather than multiple independent votes. State capacity is kept as a Tier-1 condition rather than a seventh lever for the same reason.</w:t>
      </w:r>
    </w:p>
    <w:p>
      <w:pPr>
        <w:pStyle w:val="Heading2"/>
        <w:spacing w:after="100" w:before="0" w:line="259" w:lineRule="auto"/>
      </w:pPr>
      <w:r>
        <w:rPr>
          <w:rFonts w:ascii="Carlito" w:hAnsi="Carlito"/>
        </w:rPr>
        <w:t>10.7 Probability language</w:t>
      </w:r>
    </w:p>
    <w:p>
      <w:pPr>
        <w:spacing w:after="100" w:before="0" w:line="259" w:lineRule="auto"/>
      </w:pPr>
      <w:r>
        <w:rPr>
          <w:rFonts w:ascii="Carlito" w:hAnsi="Carlito"/>
        </w:rPr>
        <w:t>The numerical outputs should be described as governed scenario probabilities, not statistically calibrated forecasts. They are disciplined subjective weights linked to public evidence and explicit update rules. The decimal outputs in the blended table arise arithmetically from the posture weighting; they should not be read as evidence that the underlying uncertainty is known to one decimal place.</w:t>
      </w:r>
    </w:p>
    <w:tbl>
      <w:tblPr>
        <w:tblStyle w:val="TableGrid"/>
        <w:tblW w:type="auto" w:w="0"/>
        <w:jc w:val="center"/>
        <w:tblLook w:firstColumn="1" w:firstRow="1" w:lastColumn="0" w:lastRow="0" w:noHBand="0" w:noVBand="1" w:val="04A0"/>
      </w:tblPr>
      <w:tblGrid>
        <w:gridCol w:w="10051"/>
      </w:tblGrid>
      <w:tr>
        <w:trPr>
          <w:cantSplit/>
        </w:trPr>
        <w:tc>
          <w:tcPr>
            <w:tcW w:type="dxa" w:w="10051"/>
            <w:shd w:fill="FFF2CC"/>
            <w:tcMar>
              <w:top w:w="120" w:type="dxa"/>
              <w:start w:w="160" w:type="dxa"/>
              <w:bottom w:w="120" w:type="dxa"/>
              <w:end w:w="160" w:type="dxa"/>
            </w:tcMar>
          </w:tcPr>
          <w:p>
            <w:pPr>
              <w:spacing w:after="60"/>
            </w:pPr>
            <w:r>
              <w:rPr>
                <w:rFonts w:ascii="Carlito" w:hAnsi="Carlito"/>
                <w:b/>
                <w:color w:val="17365D"/>
                <w:sz w:val="22"/>
              </w:rPr>
              <w:t>Reporting rule</w:t>
            </w:r>
          </w:p>
          <w:p>
            <w:pPr>
              <w:spacing w:after="0" w:line="259" w:lineRule="auto"/>
            </w:pPr>
            <w:r>
              <w:rPr>
                <w:rFonts w:ascii="Carlito" w:hAnsi="Carlito"/>
                <w:sz w:val="20"/>
              </w:rPr>
              <w:t>Public-facing material should pair every blended probability table with a plain-language explanation of model uncertainty and the definition of Lost Control. Precision in arithmetic must not be confused with precision about the future.</w:t>
            </w:r>
          </w:p>
        </w:tc>
      </w:tr>
    </w:tbl>
    <w:p>
      <w:pPr>
        <w:spacing w:after="20"/>
      </w:pPr>
    </w:p>
    <w:p>
      <w:pPr>
        <w:pStyle w:val="Heading2"/>
        <w:spacing w:after="100" w:before="0" w:line="259" w:lineRule="auto"/>
      </w:pPr>
      <w:r>
        <w:rPr>
          <w:rFonts w:ascii="Carlito" w:hAnsi="Carlito"/>
        </w:rPr>
        <w:t>10.8 What would falsify the current reading?</w:t>
      </w:r>
    </w:p>
    <w:p>
      <w:pPr>
        <w:spacing w:after="100" w:before="0" w:line="259" w:lineRule="auto"/>
      </w:pPr>
      <w:r>
        <w:rPr>
          <w:rFonts w:ascii="Carlito" w:hAnsi="Carlito"/>
        </w:rPr>
        <w:t>The model becomes more useful if it is explicit about what would make its current pessimistic posture wrong. The DTR probability should rise if implemented, broad and persistent improvements appear across multiple levers. In particular, future evidence should be able to challenge the R1 conclusion through broader productive compute access, stronger wealth diffusion, operational international compacts, sustained trust improvement, education reform and participation gains.</w:t>
      </w:r>
    </w:p>
    <w:p>
      <w:pPr>
        <w:spacing w:after="100" w:before="0" w:line="259" w:lineRule="auto"/>
      </w:pPr>
      <w:r>
        <w:rPr>
          <w:rFonts w:ascii="Carlito" w:hAnsi="Carlito"/>
        </w:rPr>
        <w:t>Conversely, a worsening of growth and productivity alongside deterioration in participation, trust and system resilience would strengthen LC independently of any AI-specific causal claim.</w:t>
      </w:r>
    </w:p>
    <w:p>
      <w:pPr>
        <w:pStyle w:val="Heading1"/>
        <w:spacing w:after="100" w:before="0" w:line="259" w:lineRule="auto"/>
      </w:pPr>
      <w:r>
        <w:rPr>
          <w:rFonts w:ascii="Carlito" w:hAnsi="Carlito"/>
        </w:rPr>
        <w:t>11. R1 transition move log</w:t>
      </w:r>
    </w:p>
    <w:tbl>
      <w:tblPr>
        <w:tblStyle w:val="TableGrid"/>
        <w:tblW w:type="auto" w:w="0"/>
        <w:jc w:val="center"/>
        <w:tblLayout w:type="autofit"/>
        <w:tblLook w:firstColumn="1" w:firstRow="1" w:lastColumn="0" w:lastRow="0" w:noHBand="0" w:noVBand="1" w:val="04A0"/>
      </w:tblPr>
      <w:tblGrid>
        <w:gridCol w:w="5025"/>
        <w:gridCol w:w="5025"/>
      </w:tblGrid>
      <w:tr>
        <w:trPr>
          <w:tblHeader w:val="true"/>
          <w:cantSplit/>
        </w:trPr>
        <w:tc>
          <w:tcPr>
            <w:tcW w:type="dxa" w:w="4608"/>
            <w:shd w:fill="17365D"/>
            <w:tcMar>
              <w:top w:w="70" w:type="dxa"/>
              <w:start w:w="90" w:type="dxa"/>
              <w:bottom w:w="70" w:type="dxa"/>
              <w:end w:w="90" w:type="dxa"/>
            </w:tcMar>
            <w:vAlign w:val="center"/>
          </w:tcPr>
          <w:p>
            <w:pPr>
              <w:spacing w:after="0"/>
            </w:pPr>
            <w:r/>
            <w:r>
              <w:rPr>
                <w:rFonts w:ascii="Carlito" w:hAnsi="Carlito"/>
                <w:b/>
                <w:color w:val="FFFFFF"/>
                <w:sz w:val="17"/>
              </w:rPr>
              <w:t>Component</w:t>
            </w:r>
          </w:p>
        </w:tc>
        <w:tc>
          <w:tcPr>
            <w:tcW w:type="dxa" w:w="5472"/>
            <w:shd w:fill="17365D"/>
            <w:tcMar>
              <w:top w:w="70" w:type="dxa"/>
              <w:start w:w="90" w:type="dxa"/>
              <w:bottom w:w="70" w:type="dxa"/>
              <w:end w:w="90" w:type="dxa"/>
            </w:tcMar>
            <w:vAlign w:val="center"/>
          </w:tcPr>
          <w:p>
            <w:pPr>
              <w:spacing w:after="0"/>
            </w:pPr>
            <w:r/>
            <w:r>
              <w:rPr>
                <w:rFonts w:ascii="Carlito" w:hAnsi="Carlito"/>
                <w:b/>
                <w:color w:val="FFFFFF"/>
                <w:sz w:val="17"/>
              </w:rPr>
              <w:t>R1 action</w:t>
            </w:r>
          </w:p>
        </w:tc>
      </w:tr>
      <w:tr>
        <w:trPr>
          <w:cantSplit/>
        </w:trPr>
        <w:tc>
          <w:tcPr>
            <w:tcW w:type="dxa" w:w="4608"/>
            <w:tcMar>
              <w:top w:w="70" w:type="dxa"/>
              <w:start w:w="90" w:type="dxa"/>
              <w:bottom w:w="70" w:type="dxa"/>
              <w:end w:w="90" w:type="dxa"/>
            </w:tcMar>
            <w:vAlign w:val="top"/>
          </w:tcPr>
          <w:p>
            <w:pPr>
              <w:spacing w:after="0"/>
            </w:pPr>
            <w:r/>
            <w:r>
              <w:rPr>
                <w:rFonts w:ascii="Carlito" w:hAnsi="Carlito"/>
                <w:sz w:val="17"/>
              </w:rPr>
              <w:t>Structural Trust Basket</w:t>
            </w:r>
          </w:p>
        </w:tc>
        <w:tc>
          <w:tcPr>
            <w:tcW w:type="dxa" w:w="5472"/>
            <w:tcMar>
              <w:top w:w="70" w:type="dxa"/>
              <w:start w:w="90" w:type="dxa"/>
              <w:bottom w:w="70" w:type="dxa"/>
              <w:end w:w="90" w:type="dxa"/>
            </w:tcMar>
            <w:vAlign w:val="top"/>
          </w:tcPr>
          <w:p>
            <w:pPr>
              <w:spacing w:after="0"/>
            </w:pPr>
            <w:r/>
            <w:r>
              <w:rPr>
                <w:rFonts w:ascii="Carlito" w:hAnsi="Carlito"/>
                <w:sz w:val="17"/>
              </w:rPr>
              <w:t>Baseline established</w:t>
            </w:r>
          </w:p>
        </w:tc>
      </w:tr>
      <w:tr>
        <w:trPr>
          <w:cantSplit/>
        </w:trPr>
        <w:tc>
          <w:tcPr>
            <w:tcW w:type="dxa" w:w="4608"/>
            <w:tcMar>
              <w:top w:w="70" w:type="dxa"/>
              <w:start w:w="90" w:type="dxa"/>
              <w:bottom w:w="70" w:type="dxa"/>
              <w:end w:w="90" w:type="dxa"/>
            </w:tcMar>
            <w:vAlign w:val="top"/>
            <w:shd w:fill="F3F6FA"/>
          </w:tcPr>
          <w:p>
            <w:pPr>
              <w:spacing w:after="0"/>
            </w:pPr>
            <w:r/>
            <w:r>
              <w:rPr>
                <w:rFonts w:ascii="Carlito" w:hAnsi="Carlito"/>
                <w:sz w:val="17"/>
              </w:rPr>
              <w:t>Macro Performance Panel</w:t>
            </w:r>
          </w:p>
        </w:tc>
        <w:tc>
          <w:tcPr>
            <w:tcW w:type="dxa" w:w="5472"/>
            <w:tcMar>
              <w:top w:w="70" w:type="dxa"/>
              <w:start w:w="90" w:type="dxa"/>
              <w:bottom w:w="70" w:type="dxa"/>
              <w:end w:w="90" w:type="dxa"/>
            </w:tcMar>
            <w:vAlign w:val="top"/>
            <w:shd w:fill="F3F6FA"/>
          </w:tcPr>
          <w:p>
            <w:pPr>
              <w:spacing w:after="0"/>
            </w:pPr>
            <w:r/>
            <w:r>
              <w:rPr>
                <w:rFonts w:ascii="Carlito" w:hAnsi="Carlito"/>
                <w:sz w:val="17"/>
              </w:rPr>
              <w:t>Baseline established</w:t>
            </w:r>
          </w:p>
        </w:tc>
      </w:tr>
      <w:tr>
        <w:trPr>
          <w:cantSplit/>
        </w:trPr>
        <w:tc>
          <w:tcPr>
            <w:tcW w:type="dxa" w:w="4608"/>
            <w:tcMar>
              <w:top w:w="70" w:type="dxa"/>
              <w:start w:w="90" w:type="dxa"/>
              <w:bottom w:w="70" w:type="dxa"/>
              <w:end w:w="90" w:type="dxa"/>
            </w:tcMar>
            <w:vAlign w:val="top"/>
          </w:tcPr>
          <w:p>
            <w:pPr>
              <w:spacing w:after="0"/>
            </w:pPr>
            <w:r/>
            <w:r>
              <w:rPr>
                <w:rFonts w:ascii="Carlito" w:hAnsi="Carlito"/>
                <w:sz w:val="17"/>
              </w:rPr>
              <w:t>Growth-Diffusion Test</w:t>
            </w:r>
          </w:p>
        </w:tc>
        <w:tc>
          <w:tcPr>
            <w:tcW w:type="dxa" w:w="5472"/>
            <w:tcMar>
              <w:top w:w="70" w:type="dxa"/>
              <w:start w:w="90" w:type="dxa"/>
              <w:bottom w:w="70" w:type="dxa"/>
              <w:end w:w="90" w:type="dxa"/>
            </w:tcMar>
            <w:vAlign w:val="top"/>
          </w:tcPr>
          <w:p>
            <w:pPr>
              <w:spacing w:after="0"/>
            </w:pPr>
            <w:r/>
            <w:r>
              <w:rPr>
                <w:rFonts w:ascii="Carlito" w:hAnsi="Carlito"/>
                <w:sz w:val="17"/>
              </w:rPr>
              <w:t>Concentrated Growth</w:t>
            </w:r>
          </w:p>
        </w:tc>
      </w:tr>
      <w:tr>
        <w:trPr>
          <w:cantSplit/>
        </w:trPr>
        <w:tc>
          <w:tcPr>
            <w:tcW w:type="dxa" w:w="4608"/>
            <w:tcMar>
              <w:top w:w="70" w:type="dxa"/>
              <w:start w:w="90" w:type="dxa"/>
              <w:bottom w:w="70" w:type="dxa"/>
              <w:end w:w="90" w:type="dxa"/>
            </w:tcMar>
            <w:vAlign w:val="top"/>
            <w:shd w:fill="F3F6FA"/>
          </w:tcPr>
          <w:p>
            <w:pPr>
              <w:spacing w:after="0"/>
            </w:pPr>
            <w:r/>
            <w:r>
              <w:rPr>
                <w:rFonts w:ascii="Carlito" w:hAnsi="Carlito"/>
                <w:sz w:val="17"/>
              </w:rPr>
              <w:t>Energy E1/E2</w:t>
            </w:r>
          </w:p>
        </w:tc>
        <w:tc>
          <w:tcPr>
            <w:tcW w:type="dxa" w:w="5472"/>
            <w:tcMar>
              <w:top w:w="70" w:type="dxa"/>
              <w:start w:w="90" w:type="dxa"/>
              <w:bottom w:w="70" w:type="dxa"/>
              <w:end w:w="90" w:type="dxa"/>
            </w:tcMar>
            <w:vAlign w:val="top"/>
            <w:shd w:fill="F3F6FA"/>
          </w:tcPr>
          <w:p>
            <w:pPr>
              <w:spacing w:after="0"/>
            </w:pPr>
            <w:r/>
            <w:r>
              <w:rPr>
                <w:rFonts w:ascii="Carlito" w:hAnsi="Carlito"/>
                <w:sz w:val="17"/>
              </w:rPr>
              <w:t>Baseline established</w:t>
            </w:r>
          </w:p>
        </w:tc>
      </w:tr>
      <w:tr>
        <w:trPr>
          <w:cantSplit/>
        </w:trPr>
        <w:tc>
          <w:tcPr>
            <w:tcW w:type="dxa" w:w="4608"/>
            <w:tcMar>
              <w:top w:w="70" w:type="dxa"/>
              <w:start w:w="90" w:type="dxa"/>
              <w:bottom w:w="70" w:type="dxa"/>
              <w:end w:w="90" w:type="dxa"/>
            </w:tcMar>
            <w:vAlign w:val="top"/>
          </w:tcPr>
          <w:p>
            <w:pPr>
              <w:spacing w:after="0"/>
            </w:pPr>
            <w:r/>
            <w:r>
              <w:rPr>
                <w:rFonts w:ascii="Carlito" w:hAnsi="Carlito"/>
                <w:sz w:val="17"/>
              </w:rPr>
              <w:t>Health H1/H2</w:t>
            </w:r>
          </w:p>
        </w:tc>
        <w:tc>
          <w:tcPr>
            <w:tcW w:type="dxa" w:w="5472"/>
            <w:tcMar>
              <w:top w:w="70" w:type="dxa"/>
              <w:start w:w="90" w:type="dxa"/>
              <w:bottom w:w="70" w:type="dxa"/>
              <w:end w:w="90" w:type="dxa"/>
            </w:tcMar>
            <w:vAlign w:val="top"/>
          </w:tcPr>
          <w:p>
            <w:pPr>
              <w:spacing w:after="0"/>
            </w:pPr>
            <w:r/>
            <w:r>
              <w:rPr>
                <w:rFonts w:ascii="Carlito" w:hAnsi="Carlito"/>
                <w:sz w:val="17"/>
              </w:rPr>
              <w:t>Baseline established</w:t>
            </w:r>
          </w:p>
        </w:tc>
      </w:tr>
      <w:tr>
        <w:trPr>
          <w:cantSplit/>
        </w:trPr>
        <w:tc>
          <w:tcPr>
            <w:tcW w:type="dxa" w:w="4608"/>
            <w:tcMar>
              <w:top w:w="70" w:type="dxa"/>
              <w:start w:w="90" w:type="dxa"/>
              <w:bottom w:w="70" w:type="dxa"/>
              <w:end w:w="90" w:type="dxa"/>
            </w:tcMar>
            <w:vAlign w:val="top"/>
            <w:shd w:fill="F3F6FA"/>
          </w:tcPr>
          <w:p>
            <w:pPr>
              <w:spacing w:after="0"/>
            </w:pPr>
            <w:r/>
            <w:r>
              <w:rPr>
                <w:rFonts w:ascii="Carlito" w:hAnsi="Carlito"/>
                <w:sz w:val="17"/>
              </w:rPr>
              <w:t>Education ED1</w:t>
            </w:r>
          </w:p>
        </w:tc>
        <w:tc>
          <w:tcPr>
            <w:tcW w:type="dxa" w:w="5472"/>
            <w:tcMar>
              <w:top w:w="70" w:type="dxa"/>
              <w:start w:w="90" w:type="dxa"/>
              <w:bottom w:w="70" w:type="dxa"/>
              <w:end w:w="90" w:type="dxa"/>
            </w:tcMar>
            <w:vAlign w:val="top"/>
            <w:shd w:fill="F3F6FA"/>
          </w:tcPr>
          <w:p>
            <w:pPr>
              <w:spacing w:after="0"/>
            </w:pPr>
            <w:r/>
            <w:r>
              <w:rPr>
                <w:rFonts w:ascii="Carlito" w:hAnsi="Carlito"/>
                <w:sz w:val="17"/>
              </w:rPr>
              <w:t>Baseline established</w:t>
            </w:r>
          </w:p>
        </w:tc>
      </w:tr>
      <w:tr>
        <w:trPr>
          <w:cantSplit/>
        </w:trPr>
        <w:tc>
          <w:tcPr>
            <w:tcW w:type="dxa" w:w="4608"/>
            <w:tcMar>
              <w:top w:w="70" w:type="dxa"/>
              <w:start w:w="90" w:type="dxa"/>
              <w:bottom w:w="70" w:type="dxa"/>
              <w:end w:w="90" w:type="dxa"/>
            </w:tcMar>
            <w:vAlign w:val="top"/>
          </w:tcPr>
          <w:p>
            <w:pPr>
              <w:spacing w:after="0"/>
            </w:pPr>
            <w:r/>
            <w:r>
              <w:rPr>
                <w:rFonts w:ascii="Carlito" w:hAnsi="Carlito"/>
                <w:sz w:val="17"/>
              </w:rPr>
              <w:t>Trust T1</w:t>
            </w:r>
          </w:p>
        </w:tc>
        <w:tc>
          <w:tcPr>
            <w:tcW w:type="dxa" w:w="5472"/>
            <w:tcMar>
              <w:top w:w="70" w:type="dxa"/>
              <w:start w:w="90" w:type="dxa"/>
              <w:bottom w:w="70" w:type="dxa"/>
              <w:end w:w="90" w:type="dxa"/>
            </w:tcMar>
            <w:vAlign w:val="top"/>
          </w:tcPr>
          <w:p>
            <w:pPr>
              <w:spacing w:after="0"/>
            </w:pPr>
            <w:r/>
            <w:r>
              <w:rPr>
                <w:rFonts w:ascii="Carlito" w:hAnsi="Carlito"/>
                <w:sz w:val="17"/>
              </w:rPr>
              <w:t>Baseline established</w:t>
            </w:r>
          </w:p>
        </w:tc>
      </w:tr>
      <w:tr>
        <w:trPr>
          <w:cantSplit/>
        </w:trPr>
        <w:tc>
          <w:tcPr>
            <w:tcW w:type="dxa" w:w="4608"/>
            <w:tcMar>
              <w:top w:w="70" w:type="dxa"/>
              <w:start w:w="90" w:type="dxa"/>
              <w:bottom w:w="70" w:type="dxa"/>
              <w:end w:w="90" w:type="dxa"/>
            </w:tcMar>
            <w:vAlign w:val="top"/>
            <w:shd w:fill="F3F6FA"/>
          </w:tcPr>
          <w:p>
            <w:pPr>
              <w:spacing w:after="0"/>
            </w:pPr>
            <w:r/>
            <w:r>
              <w:rPr>
                <w:rFonts w:ascii="Carlito" w:hAnsi="Carlito"/>
                <w:sz w:val="17"/>
              </w:rPr>
              <w:t>Coordination C1/C2</w:t>
            </w:r>
          </w:p>
        </w:tc>
        <w:tc>
          <w:tcPr>
            <w:tcW w:type="dxa" w:w="5472"/>
            <w:tcMar>
              <w:top w:w="70" w:type="dxa"/>
              <w:start w:w="90" w:type="dxa"/>
              <w:bottom w:w="70" w:type="dxa"/>
              <w:end w:w="90" w:type="dxa"/>
            </w:tcMar>
            <w:vAlign w:val="top"/>
            <w:shd w:fill="F3F6FA"/>
          </w:tcPr>
          <w:p>
            <w:pPr>
              <w:spacing w:after="0"/>
            </w:pPr>
            <w:r/>
            <w:r>
              <w:rPr>
                <w:rFonts w:ascii="Carlito" w:hAnsi="Carlito"/>
                <w:sz w:val="17"/>
              </w:rPr>
              <w:t>Baseline established</w:t>
            </w:r>
          </w:p>
        </w:tc>
      </w:tr>
      <w:tr>
        <w:trPr>
          <w:cantSplit/>
        </w:trPr>
        <w:tc>
          <w:tcPr>
            <w:tcW w:type="dxa" w:w="4608"/>
            <w:tcMar>
              <w:top w:w="70" w:type="dxa"/>
              <w:start w:w="90" w:type="dxa"/>
              <w:bottom w:w="70" w:type="dxa"/>
              <w:end w:w="90" w:type="dxa"/>
            </w:tcMar>
            <w:vAlign w:val="top"/>
          </w:tcPr>
          <w:p>
            <w:pPr>
              <w:spacing w:after="0"/>
            </w:pPr>
            <w:r/>
            <w:r>
              <w:rPr>
                <w:rFonts w:ascii="Carlito" w:hAnsi="Carlito"/>
                <w:sz w:val="17"/>
              </w:rPr>
              <w:t>Compute CA1/CA2</w:t>
            </w:r>
          </w:p>
        </w:tc>
        <w:tc>
          <w:tcPr>
            <w:tcW w:type="dxa" w:w="5472"/>
            <w:tcMar>
              <w:top w:w="70" w:type="dxa"/>
              <w:start w:w="90" w:type="dxa"/>
              <w:bottom w:w="70" w:type="dxa"/>
              <w:end w:w="90" w:type="dxa"/>
            </w:tcMar>
            <w:vAlign w:val="top"/>
          </w:tcPr>
          <w:p>
            <w:pPr>
              <w:spacing w:after="0"/>
            </w:pPr>
            <w:r/>
            <w:r>
              <w:rPr>
                <w:rFonts w:ascii="Carlito" w:hAnsi="Carlito"/>
                <w:sz w:val="17"/>
              </w:rPr>
              <w:t>Baseline established</w:t>
            </w:r>
          </w:p>
        </w:tc>
      </w:tr>
      <w:tr>
        <w:trPr>
          <w:cantSplit/>
        </w:trPr>
        <w:tc>
          <w:tcPr>
            <w:tcW w:type="dxa" w:w="4608"/>
            <w:tcMar>
              <w:top w:w="70" w:type="dxa"/>
              <w:start w:w="90" w:type="dxa"/>
              <w:bottom w:w="70" w:type="dxa"/>
              <w:end w:w="90" w:type="dxa"/>
            </w:tcMar>
            <w:vAlign w:val="top"/>
            <w:shd w:fill="F3F6FA"/>
          </w:tcPr>
          <w:p>
            <w:pPr>
              <w:spacing w:after="0"/>
            </w:pPr>
            <w:r/>
            <w:r>
              <w:rPr>
                <w:rFonts w:ascii="Carlito" w:hAnsi="Carlito"/>
                <w:sz w:val="17"/>
              </w:rPr>
              <w:t>Wealth-Diffusion Gate</w:t>
            </w:r>
          </w:p>
        </w:tc>
        <w:tc>
          <w:tcPr>
            <w:tcW w:type="dxa" w:w="5472"/>
            <w:tcMar>
              <w:top w:w="70" w:type="dxa"/>
              <w:start w:w="90" w:type="dxa"/>
              <w:bottom w:w="70" w:type="dxa"/>
              <w:end w:w="90" w:type="dxa"/>
            </w:tcMar>
            <w:vAlign w:val="top"/>
            <w:shd w:fill="F3F6FA"/>
          </w:tcPr>
          <w:p>
            <w:pPr>
              <w:spacing w:after="0"/>
            </w:pPr>
            <w:r/>
            <w:r>
              <w:rPr>
                <w:rFonts w:ascii="Carlito" w:hAnsi="Carlito"/>
                <w:sz w:val="17"/>
              </w:rPr>
              <w:t>Closed</w:t>
            </w:r>
          </w:p>
        </w:tc>
      </w:tr>
      <w:tr>
        <w:trPr>
          <w:cantSplit/>
        </w:trPr>
        <w:tc>
          <w:tcPr>
            <w:tcW w:type="dxa" w:w="4608"/>
            <w:tcMar>
              <w:top w:w="70" w:type="dxa"/>
              <w:start w:w="90" w:type="dxa"/>
              <w:bottom w:w="70" w:type="dxa"/>
              <w:end w:w="90" w:type="dxa"/>
            </w:tcMar>
            <w:vAlign w:val="top"/>
          </w:tcPr>
          <w:p>
            <w:pPr>
              <w:spacing w:after="0"/>
            </w:pPr>
            <w:r/>
            <w:r>
              <w:rPr>
                <w:rFonts w:ascii="Carlito" w:hAnsi="Carlito"/>
                <w:sz w:val="17"/>
              </w:rPr>
              <w:t>Geopolitical Shock</w:t>
            </w:r>
          </w:p>
        </w:tc>
        <w:tc>
          <w:tcPr>
            <w:tcW w:type="dxa" w:w="5472"/>
            <w:tcMar>
              <w:top w:w="70" w:type="dxa"/>
              <w:start w:w="90" w:type="dxa"/>
              <w:bottom w:w="70" w:type="dxa"/>
              <w:end w:w="90" w:type="dxa"/>
            </w:tcMar>
            <w:vAlign w:val="top"/>
          </w:tcPr>
          <w:p>
            <w:pPr>
              <w:spacing w:after="0"/>
            </w:pPr>
            <w:r/>
            <w:r>
              <w:rPr>
                <w:rFonts w:ascii="Carlito" w:hAnsi="Carlito"/>
                <w:sz w:val="17"/>
              </w:rPr>
              <w:t>Active</w:t>
            </w:r>
          </w:p>
        </w:tc>
      </w:tr>
      <w:tr>
        <w:trPr>
          <w:cantSplit/>
        </w:trPr>
        <w:tc>
          <w:tcPr>
            <w:tcW w:type="dxa" w:w="4608"/>
            <w:tcMar>
              <w:top w:w="70" w:type="dxa"/>
              <w:start w:w="90" w:type="dxa"/>
              <w:bottom w:w="70" w:type="dxa"/>
              <w:end w:w="90" w:type="dxa"/>
            </w:tcMar>
            <w:vAlign w:val="top"/>
            <w:shd w:fill="F3F6FA"/>
          </w:tcPr>
          <w:p>
            <w:pPr>
              <w:spacing w:after="0"/>
            </w:pPr>
            <w:r/>
            <w:r>
              <w:rPr>
                <w:rFonts w:ascii="Carlito" w:hAnsi="Carlito"/>
                <w:sz w:val="17"/>
              </w:rPr>
              <w:t>Health Surveillance</w:t>
            </w:r>
          </w:p>
        </w:tc>
        <w:tc>
          <w:tcPr>
            <w:tcW w:type="dxa" w:w="5472"/>
            <w:tcMar>
              <w:top w:w="70" w:type="dxa"/>
              <w:start w:w="90" w:type="dxa"/>
              <w:bottom w:w="70" w:type="dxa"/>
              <w:end w:w="90" w:type="dxa"/>
            </w:tcMar>
            <w:vAlign w:val="top"/>
            <w:shd w:fill="F3F6FA"/>
          </w:tcPr>
          <w:p>
            <w:pPr>
              <w:spacing w:after="0"/>
            </w:pPr>
            <w:r/>
            <w:r>
              <w:rPr>
                <w:rFonts w:ascii="Carlito" w:hAnsi="Carlito"/>
                <w:sz w:val="17"/>
              </w:rPr>
              <w:t>Active</w:t>
            </w:r>
          </w:p>
        </w:tc>
      </w:tr>
      <w:tr>
        <w:trPr>
          <w:cantSplit/>
        </w:trPr>
        <w:tc>
          <w:tcPr>
            <w:tcW w:type="dxa" w:w="4608"/>
            <w:tcMar>
              <w:top w:w="70" w:type="dxa"/>
              <w:start w:w="90" w:type="dxa"/>
              <w:bottom w:w="70" w:type="dxa"/>
              <w:end w:w="90" w:type="dxa"/>
            </w:tcMar>
            <w:vAlign w:val="top"/>
          </w:tcPr>
          <w:p>
            <w:pPr>
              <w:spacing w:after="0"/>
            </w:pPr>
            <w:r/>
            <w:r>
              <w:rPr>
                <w:rFonts w:ascii="Carlito" w:hAnsi="Carlito"/>
                <w:sz w:val="17"/>
              </w:rPr>
              <w:t>Economic Stress</w:t>
            </w:r>
          </w:p>
        </w:tc>
        <w:tc>
          <w:tcPr>
            <w:tcW w:type="dxa" w:w="5472"/>
            <w:tcMar>
              <w:top w:w="70" w:type="dxa"/>
              <w:start w:w="90" w:type="dxa"/>
              <w:bottom w:w="70" w:type="dxa"/>
              <w:end w:w="90" w:type="dxa"/>
            </w:tcMar>
            <w:vAlign w:val="top"/>
          </w:tcPr>
          <w:p>
            <w:pPr>
              <w:spacing w:after="0"/>
            </w:pPr>
            <w:r/>
            <w:r>
              <w:rPr>
                <w:rFonts w:ascii="Carlito" w:hAnsi="Carlito"/>
                <w:sz w:val="17"/>
              </w:rPr>
              <w:t>Inactive / Watch</w:t>
            </w:r>
          </w:p>
        </w:tc>
      </w:tr>
      <w:tr>
        <w:trPr>
          <w:cantSplit/>
        </w:trPr>
        <w:tc>
          <w:tcPr>
            <w:tcW w:type="dxa" w:w="4608"/>
            <w:tcMar>
              <w:top w:w="70" w:type="dxa"/>
              <w:start w:w="90" w:type="dxa"/>
              <w:bottom w:w="70" w:type="dxa"/>
              <w:end w:w="90" w:type="dxa"/>
            </w:tcMar>
            <w:vAlign w:val="top"/>
            <w:shd w:fill="F3F6FA"/>
          </w:tcPr>
          <w:p>
            <w:pPr>
              <w:spacing w:after="0"/>
            </w:pPr>
            <w:r/>
            <w:r>
              <w:rPr>
                <w:rFonts w:ascii="Carlito" w:hAnsi="Carlito"/>
                <w:sz w:val="17"/>
              </w:rPr>
              <w:t>Participation Stress</w:t>
            </w:r>
          </w:p>
        </w:tc>
        <w:tc>
          <w:tcPr>
            <w:tcW w:type="dxa" w:w="5472"/>
            <w:tcMar>
              <w:top w:w="70" w:type="dxa"/>
              <w:start w:w="90" w:type="dxa"/>
              <w:bottom w:w="70" w:type="dxa"/>
              <w:end w:w="90" w:type="dxa"/>
            </w:tcMar>
            <w:vAlign w:val="top"/>
            <w:shd w:fill="F3F6FA"/>
          </w:tcPr>
          <w:p>
            <w:pPr>
              <w:spacing w:after="0"/>
            </w:pPr>
            <w:r/>
            <w:r>
              <w:rPr>
                <w:rFonts w:ascii="Carlito" w:hAnsi="Carlito"/>
                <w:sz w:val="17"/>
              </w:rPr>
              <w:t>Inactive / Watch</w:t>
            </w:r>
          </w:p>
        </w:tc>
      </w:tr>
      <w:tr>
        <w:trPr>
          <w:cantSplit/>
        </w:trPr>
        <w:tc>
          <w:tcPr>
            <w:tcW w:type="dxa" w:w="4608"/>
            <w:tcMar>
              <w:top w:w="70" w:type="dxa"/>
              <w:start w:w="90" w:type="dxa"/>
              <w:bottom w:w="70" w:type="dxa"/>
              <w:end w:w="90" w:type="dxa"/>
            </w:tcMar>
            <w:vAlign w:val="top"/>
          </w:tcPr>
          <w:p>
            <w:pPr>
              <w:spacing w:after="0"/>
            </w:pPr>
            <w:r/>
            <w:r>
              <w:rPr>
                <w:rFonts w:ascii="Carlito" w:hAnsi="Carlito"/>
                <w:sz w:val="17"/>
              </w:rPr>
              <w:t>Conditional DTR/LIR odds</w:t>
            </w:r>
          </w:p>
        </w:tc>
        <w:tc>
          <w:tcPr>
            <w:tcW w:type="dxa" w:w="5472"/>
            <w:tcMar>
              <w:top w:w="70" w:type="dxa"/>
              <w:start w:w="90" w:type="dxa"/>
              <w:bottom w:w="70" w:type="dxa"/>
              <w:end w:w="90" w:type="dxa"/>
            </w:tcMar>
            <w:vAlign w:val="top"/>
          </w:tcPr>
          <w:p>
            <w:pPr>
              <w:spacing w:after="0"/>
            </w:pPr>
            <w:r/>
            <w:r>
              <w:rPr>
                <w:rFonts w:ascii="Carlito" w:hAnsi="Carlito"/>
                <w:sz w:val="17"/>
              </w:rPr>
              <w:t>No movement</w:t>
            </w:r>
          </w:p>
        </w:tc>
      </w:tr>
      <w:tr>
        <w:trPr>
          <w:cantSplit/>
        </w:trPr>
        <w:tc>
          <w:tcPr>
            <w:tcW w:type="dxa" w:w="4608"/>
            <w:tcMar>
              <w:top w:w="70" w:type="dxa"/>
              <w:start w:w="90" w:type="dxa"/>
              <w:bottom w:w="70" w:type="dxa"/>
              <w:end w:w="90" w:type="dxa"/>
            </w:tcMar>
            <w:vAlign w:val="top"/>
            <w:shd w:fill="F3F6FA"/>
          </w:tcPr>
          <w:p>
            <w:pPr>
              <w:spacing w:after="0"/>
            </w:pPr>
            <w:r/>
            <w:r>
              <w:rPr>
                <w:rFonts w:ascii="Carlito" w:hAnsi="Carlito"/>
                <w:sz w:val="17"/>
              </w:rPr>
              <w:t>Posture Likelihood</w:t>
            </w:r>
          </w:p>
        </w:tc>
        <w:tc>
          <w:tcPr>
            <w:tcW w:type="dxa" w:w="5472"/>
            <w:tcMar>
              <w:top w:w="70" w:type="dxa"/>
              <w:start w:w="90" w:type="dxa"/>
              <w:bottom w:w="70" w:type="dxa"/>
              <w:end w:w="90" w:type="dxa"/>
            </w:tcMar>
            <w:vAlign w:val="top"/>
            <w:shd w:fill="F3F6FA"/>
          </w:tcPr>
          <w:p>
            <w:pPr>
              <w:spacing w:after="0"/>
            </w:pPr>
            <w:r/>
            <w:r>
              <w:rPr>
                <w:rFonts w:ascii="Carlito" w:hAnsi="Carlito"/>
                <w:sz w:val="17"/>
              </w:rPr>
              <w:t>Initialized at DTR 10% / LIR 90%</w:t>
            </w:r>
          </w:p>
        </w:tc>
      </w:tr>
      <w:tr>
        <w:trPr>
          <w:cantSplit/>
        </w:trPr>
        <w:tc>
          <w:tcPr>
            <w:tcW w:type="dxa" w:w="4608"/>
            <w:tcMar>
              <w:top w:w="70" w:type="dxa"/>
              <w:start w:w="90" w:type="dxa"/>
              <w:bottom w:w="70" w:type="dxa"/>
              <w:end w:w="90" w:type="dxa"/>
            </w:tcMar>
            <w:vAlign w:val="top"/>
          </w:tcPr>
          <w:p>
            <w:pPr>
              <w:spacing w:after="0"/>
            </w:pPr>
            <w:r/>
            <w:r>
              <w:rPr>
                <w:rFonts w:ascii="Carlito" w:hAnsi="Carlito"/>
                <w:sz w:val="17"/>
              </w:rPr>
              <w:t>Blended outcomes</w:t>
            </w:r>
          </w:p>
        </w:tc>
        <w:tc>
          <w:tcPr>
            <w:tcW w:type="dxa" w:w="5472"/>
            <w:tcMar>
              <w:top w:w="70" w:type="dxa"/>
              <w:start w:w="90" w:type="dxa"/>
              <w:bottom w:w="70" w:type="dxa"/>
              <w:end w:w="90" w:type="dxa"/>
            </w:tcMar>
            <w:vAlign w:val="top"/>
          </w:tcPr>
          <w:p>
            <w:pPr>
              <w:spacing w:after="0"/>
            </w:pPr>
            <w:r/>
            <w:r>
              <w:rPr>
                <w:rFonts w:ascii="Carlito" w:hAnsi="Carlito"/>
                <w:sz w:val="17"/>
              </w:rPr>
              <w:t>Calculated for first time</w:t>
            </w:r>
          </w:p>
        </w:tc>
      </w:tr>
    </w:tbl>
    <w:p>
      <w:pPr>
        <w:spacing w:after="20"/>
      </w:pPr>
    </w:p>
    <w:p>
      <w:pPr>
        <w:pStyle w:val="Heading1"/>
        <w:spacing w:after="100" w:before="0" w:line="259" w:lineRule="auto"/>
      </w:pPr>
      <w:r>
        <w:rPr>
          <w:rFonts w:ascii="Carlito" w:hAnsi="Carlito"/>
        </w:rPr>
        <w:t>12. Overall assessment</w:t>
      </w:r>
    </w:p>
    <w:p>
      <w:pPr>
        <w:spacing w:after="100" w:before="0" w:line="259" w:lineRule="auto"/>
      </w:pPr>
      <w:r>
        <w:rPr>
          <w:rFonts w:ascii="Carlito" w:hAnsi="Carlito"/>
        </w:rPr>
        <w:t>The first v12 run does not show a world in economic free fall. The productive engine remains resilient enough to generate growth, productivity improvement and significant infrastructure investment. That is the important correction to simplistic collapse narratives.</w:t>
      </w:r>
    </w:p>
    <w:p>
      <w:pPr>
        <w:spacing w:after="100" w:before="0" w:line="259" w:lineRule="auto"/>
      </w:pPr>
      <w:r>
        <w:rPr>
          <w:rFonts w:ascii="Carlito" w:hAnsi="Carlito"/>
        </w:rPr>
        <w:t>The harder finding is that the complementary systems are not keeping pace. Compute concentration remains severe. Education adaptation is uneven. Institutional integrity and political freedom are weak. International coordination is still less operational than the technology race requires. Labor is not demonstrably capturing a growing share of gains. The Wealth-Diffusion Gate remains closed.</w:t>
      </w:r>
    </w:p>
    <w:p>
      <w:pPr>
        <w:spacing w:after="100" w:before="0" w:line="259" w:lineRule="auto"/>
      </w:pPr>
      <w:r>
        <w:rPr>
          <w:rFonts w:ascii="Carlito" w:hAnsi="Carlito"/>
        </w:rPr>
        <w:t>The most defensible description of the present is therefore a productive but concentrated transition under a predominantly Let It Rip posture. The risk is not that nothing works. The risk is that enough things work for the transition to accelerate while the institutions needed to distribute, govern and legitimize it remain behind.</w:t>
      </w:r>
    </w:p>
    <w:p>
      <w:pPr>
        <w:spacing w:before="120" w:after="160"/>
        <w:ind w:left="504" w:right="504"/>
      </w:pPr>
      <w:r>
        <w:rPr>
          <w:rFonts w:ascii="Carlito" w:hAnsi="Carlito"/>
          <w:b/>
          <w:i/>
          <w:color w:val="17365D"/>
          <w:sz w:val="23"/>
        </w:rPr>
        <w:t>The productive engine is still running. The steering system is not keeping pace.</w:t>
      </w:r>
    </w:p>
    <w:p>
      <w:pPr>
        <w:spacing w:after="100" w:before="0" w:line="259" w:lineRule="auto"/>
      </w:pPr>
      <w:r>
        <w:rPr>
          <w:rFonts w:ascii="Carlito" w:hAnsi="Carlito"/>
        </w:rPr>
        <w:t>On this basis, v12.0-R1 is treated as successfully completed. The next ordinary run, v12.0-R2, should be eligible to move inherited conditional probabilities only where the new indicator families establish persistence and corroboration against this baseline.</w:t>
      </w:r>
    </w:p>
    <w:p>
      <w:r>
        <w:br w:type="page"/>
      </w:r>
    </w:p>
    <w:p>
      <w:pPr>
        <w:pStyle w:val="Heading1"/>
        <w:spacing w:after="100" w:before="0" w:line="259" w:lineRule="auto"/>
      </w:pPr>
      <w:r>
        <w:rPr>
          <w:rFonts w:ascii="Carlito" w:hAnsi="Carlito"/>
        </w:rPr>
        <w:t>References and principal evidence sources</w:t>
      </w:r>
    </w:p>
    <w:p>
      <w:pPr>
        <w:spacing w:after="60" w:line="245" w:lineRule="auto"/>
        <w:ind w:left="360" w:hanging="360"/>
      </w:pPr>
      <w:r>
        <w:rPr>
          <w:rFonts w:ascii="Carlito" w:hAnsi="Carlito"/>
          <w:sz w:val="17"/>
        </w:rPr>
        <w:t>ENTSO-E. (2026, May 29). ENTSO-E releases 2026 Summer Outlook Report. https://www.entsoe.eu/news/2026/05/29/entso-e-releases-2026-summer-outlook-report/</w:t>
      </w:r>
    </w:p>
    <w:p>
      <w:pPr>
        <w:spacing w:after="60" w:line="245" w:lineRule="auto"/>
        <w:ind w:left="360" w:hanging="360"/>
      </w:pPr>
      <w:r>
        <w:rPr>
          <w:rFonts w:ascii="Carlito" w:hAnsi="Carlito"/>
          <w:sz w:val="17"/>
        </w:rPr>
        <w:t>Epoch AI. (2026). AI Chip Owners Documentation: Methodology. https://epoch.ai/data/ai-chip-owners-documentation/methodology</w:t>
      </w:r>
    </w:p>
    <w:p>
      <w:pPr>
        <w:spacing w:after="60" w:line="245" w:lineRule="auto"/>
        <w:ind w:left="360" w:hanging="360"/>
      </w:pPr>
      <w:r>
        <w:rPr>
          <w:rFonts w:ascii="Carlito" w:hAnsi="Carlito"/>
          <w:sz w:val="17"/>
        </w:rPr>
        <w:t>Epoch AI. (2026, April 14). Five hyperscalers now own over two-thirds of global AI compute. https://epoch.ai/data-insights/hyperscalers-control-most-compute</w:t>
      </w:r>
    </w:p>
    <w:p>
      <w:pPr>
        <w:spacing w:after="60" w:line="245" w:lineRule="auto"/>
        <w:ind w:left="360" w:hanging="360"/>
      </w:pPr>
      <w:r>
        <w:rPr>
          <w:rFonts w:ascii="Carlito" w:hAnsi="Carlito"/>
          <w:sz w:val="17"/>
        </w:rPr>
        <w:t>European Commission. (2026). Code of Practice on Transparency of AI-generated Content. https://digital-strategy.ec.europa.eu/en/policies/code-practice-ai-generated-content</w:t>
      </w:r>
    </w:p>
    <w:p>
      <w:pPr>
        <w:spacing w:after="60" w:line="245" w:lineRule="auto"/>
        <w:ind w:left="360" w:hanging="360"/>
      </w:pPr>
      <w:r>
        <w:rPr>
          <w:rFonts w:ascii="Carlito" w:hAnsi="Carlito"/>
          <w:sz w:val="17"/>
        </w:rPr>
        <w:t>Freedom House. (2026). Freedom in the World 2026: The Growing Shadow of Autocracy. https://freedomhouse.org/report/freedom-world/2026/growing-shadow-autocracy</w:t>
      </w:r>
    </w:p>
    <w:p>
      <w:pPr>
        <w:spacing w:after="60" w:line="245" w:lineRule="auto"/>
        <w:ind w:left="360" w:hanging="360"/>
      </w:pPr>
      <w:r>
        <w:rPr>
          <w:rFonts w:ascii="Carlito" w:hAnsi="Carlito"/>
          <w:sz w:val="17"/>
        </w:rPr>
        <w:t>International Labour Organization. (2026). Employment and Social Trends 2026. https://www.ilo.org/publications/flagship-reports/employment-and-social-trends-2026</w:t>
      </w:r>
    </w:p>
    <w:p>
      <w:pPr>
        <w:spacing w:after="60" w:line="245" w:lineRule="auto"/>
        <w:ind w:left="360" w:hanging="360"/>
      </w:pPr>
      <w:r>
        <w:rPr>
          <w:rFonts w:ascii="Carlito" w:hAnsi="Carlito"/>
          <w:sz w:val="17"/>
        </w:rPr>
        <w:t>International Monetary Fund. (2026, July). World Economic Outlook Update: Global Economy in Crosscurrents of War and Technology. https://www.imf.org/en/publications/weo</w:t>
      </w:r>
    </w:p>
    <w:p>
      <w:pPr>
        <w:spacing w:after="60" w:line="245" w:lineRule="auto"/>
        <w:ind w:left="360" w:hanging="360"/>
      </w:pPr>
      <w:r>
        <w:rPr>
          <w:rFonts w:ascii="Carlito" w:hAnsi="Carlito"/>
          <w:sz w:val="17"/>
        </w:rPr>
        <w:t>ILOSTAT. (2026). The world of work and the 2030 Agenda: A ten-year review. https://ilostat.ilo.org/blog/the-world-of-work-and-the-2030-agenda-a-ten-year-review/</w:t>
      </w:r>
    </w:p>
    <w:p>
      <w:pPr>
        <w:spacing w:after="60" w:line="245" w:lineRule="auto"/>
        <w:ind w:left="360" w:hanging="360"/>
      </w:pPr>
      <w:r>
        <w:rPr>
          <w:rFonts w:ascii="Carlito" w:hAnsi="Carlito"/>
          <w:sz w:val="17"/>
        </w:rPr>
        <w:t>Lehdonvirta, V., Wu, B., Hawkins, Z. J., Caira, C., &amp; Russo, L. (2025). Measuring domestic public cloud compute availability for artificial intelligence. OECD Artificial Intelligence Papers, No. 49. https://doi.org/10.1787/8602a322-en</w:t>
      </w:r>
    </w:p>
    <w:p>
      <w:pPr>
        <w:spacing w:after="60" w:line="245" w:lineRule="auto"/>
        <w:ind w:left="360" w:hanging="360"/>
      </w:pPr>
      <w:r>
        <w:rPr>
          <w:rFonts w:ascii="Carlito" w:hAnsi="Carlito"/>
          <w:sz w:val="17"/>
        </w:rPr>
        <w:t>North American Electric Reliability Corporation. (2026). 2026 Summer Reliability Assessment. https://www.nerc.com/globalassets/our-work/assessments/nerc_sra_2026.pdf</w:t>
      </w:r>
    </w:p>
    <w:p>
      <w:pPr>
        <w:spacing w:after="60" w:line="245" w:lineRule="auto"/>
        <w:ind w:left="360" w:hanging="360"/>
      </w:pPr>
      <w:r>
        <w:rPr>
          <w:rFonts w:ascii="Carlito" w:hAnsi="Carlito"/>
          <w:sz w:val="17"/>
        </w:rPr>
        <w:t>OECD. (2025). Results from TALIS 2024. https://www.oecd.org/en/publications/results-from-talis-2024_90df6235-en.html</w:t>
      </w:r>
    </w:p>
    <w:p>
      <w:pPr>
        <w:spacing w:after="60" w:line="245" w:lineRule="auto"/>
        <w:ind w:left="360" w:hanging="360"/>
      </w:pPr>
      <w:r>
        <w:rPr>
          <w:rFonts w:ascii="Carlito" w:hAnsi="Carlito"/>
          <w:sz w:val="17"/>
        </w:rPr>
        <w:t>OECD. (2026). OECD Digital Education Outlook 2026. https://www.oecd.org/en/publications/oecd-digital-education-outlook-2026_062a7394-en.html</w:t>
      </w:r>
    </w:p>
    <w:p>
      <w:pPr>
        <w:spacing w:after="60" w:line="245" w:lineRule="auto"/>
        <w:ind w:left="360" w:hanging="360"/>
      </w:pPr>
      <w:r>
        <w:rPr>
          <w:rFonts w:ascii="Carlito" w:hAnsi="Carlito"/>
          <w:sz w:val="17"/>
        </w:rPr>
        <w:t>OECD. (2026). OECD Survey on Drivers of Trust in Public Institutions 2026 Results. https://www.oecd.org/en/publications/oecd-survey-on-drivers-of-trust-in-public-institutions-2026-results_9eb63fec-en.html</w:t>
      </w:r>
    </w:p>
    <w:p>
      <w:pPr>
        <w:spacing w:after="60" w:line="245" w:lineRule="auto"/>
        <w:ind w:left="360" w:hanging="360"/>
      </w:pPr>
      <w:r>
        <w:rPr>
          <w:rFonts w:ascii="Carlito" w:hAnsi="Carlito"/>
          <w:sz w:val="17"/>
        </w:rPr>
        <w:t>OECD.AI. (2026). OECD.AI Policy Navigator. https://oecd.ai/en/dashboards/policy-initiatives</w:t>
      </w:r>
    </w:p>
    <w:p>
      <w:pPr>
        <w:spacing w:after="60" w:line="245" w:lineRule="auto"/>
        <w:ind w:left="360" w:hanging="360"/>
      </w:pPr>
      <w:r>
        <w:rPr>
          <w:rFonts w:ascii="Carlito" w:hAnsi="Carlito"/>
          <w:sz w:val="17"/>
        </w:rPr>
        <w:t>Simpson, E. (2025). Using AI in scenario planning: Letting It Rip or Doing The Right Thing? Narxoz Business School.</w:t>
      </w:r>
    </w:p>
    <w:p>
      <w:pPr>
        <w:spacing w:after="60" w:line="245" w:lineRule="auto"/>
        <w:ind w:left="360" w:hanging="360"/>
      </w:pPr>
      <w:r>
        <w:rPr>
          <w:rFonts w:ascii="Carlito" w:hAnsi="Carlito"/>
          <w:sz w:val="17"/>
        </w:rPr>
        <w:t>Simpson, E. (2026). A Positive 2050 Under Climate Constraint: Grey Swan, Archimedes Pillars and the Wealth-Diffusion Gate. Draft for discussion.</w:t>
      </w:r>
    </w:p>
    <w:p>
      <w:pPr>
        <w:spacing w:after="60" w:line="245" w:lineRule="auto"/>
        <w:ind w:left="360" w:hanging="360"/>
      </w:pPr>
      <w:r>
        <w:rPr>
          <w:rFonts w:ascii="Carlito" w:hAnsi="Carlito"/>
          <w:sz w:val="17"/>
        </w:rPr>
        <w:t>Transparency International. (2026). Corruption Perceptions Index 2025. https://www.transparency.org/en/cpi/2025</w:t>
      </w:r>
    </w:p>
    <w:p>
      <w:pPr>
        <w:spacing w:after="60" w:line="245" w:lineRule="auto"/>
        <w:ind w:left="360" w:hanging="360"/>
      </w:pPr>
      <w:r>
        <w:rPr>
          <w:rFonts w:ascii="Carlito" w:hAnsi="Carlito"/>
          <w:sz w:val="17"/>
        </w:rPr>
        <w:t>United Nations. (2026). Global Dialogue on AI Governance. https://www.un.org/global-dialogue-ai-governance/en</w:t>
      </w:r>
    </w:p>
    <w:p>
      <w:pPr>
        <w:spacing w:after="60" w:line="245" w:lineRule="auto"/>
        <w:ind w:left="360" w:hanging="360"/>
      </w:pPr>
      <w:r>
        <w:rPr>
          <w:rFonts w:ascii="Carlito" w:hAnsi="Carlito"/>
          <w:sz w:val="17"/>
        </w:rPr>
        <w:t>United Nations Statistics Division. (2026). Sustainable Development Goals Report 2026, Goal 8. https://unstats.un.org/sdgs/report/2026/goal-08/</w:t>
      </w:r>
    </w:p>
    <w:p>
      <w:pPr>
        <w:spacing w:after="60" w:line="245" w:lineRule="auto"/>
        <w:ind w:left="360" w:hanging="360"/>
      </w:pPr>
      <w:r>
        <w:rPr>
          <w:rFonts w:ascii="Carlito" w:hAnsi="Carlito"/>
          <w:sz w:val="17"/>
        </w:rPr>
        <w:t>UN Trade and Development. (2026). Liner shipping connectivity data insights. https://unctadstat.unctad.org/insights/theme/246</w:t>
      </w:r>
    </w:p>
    <w:p>
      <w:pPr>
        <w:spacing w:after="60" w:line="245" w:lineRule="auto"/>
        <w:ind w:left="360" w:hanging="360"/>
      </w:pPr>
      <w:r>
        <w:rPr>
          <w:rFonts w:ascii="Carlito" w:hAnsi="Carlito"/>
          <w:sz w:val="17"/>
        </w:rPr>
        <w:t>World Bank. (2024). Poverty, Prosperity, and Planet Report 2024. https://www.worldbank.org/en/publication/poverty-prosperity-and-planet</w:t>
      </w:r>
    </w:p>
    <w:p>
      <w:pPr>
        <w:spacing w:after="60" w:line="245" w:lineRule="auto"/>
        <w:ind w:left="360" w:hanging="360"/>
      </w:pPr>
      <w:r>
        <w:rPr>
          <w:rFonts w:ascii="Carlito" w:hAnsi="Carlito"/>
          <w:sz w:val="17"/>
        </w:rPr>
        <w:t>World Bank. (2025). Global Findex Database 2025. https://www.worldbank.org/en/publication/globalfindex/report</w:t>
      </w:r>
    </w:p>
    <w:p>
      <w:pPr>
        <w:spacing w:after="60" w:line="245" w:lineRule="auto"/>
        <w:ind w:left="360" w:hanging="360"/>
      </w:pPr>
      <w:r>
        <w:rPr>
          <w:rFonts w:ascii="Carlito" w:hAnsi="Carlito"/>
          <w:sz w:val="17"/>
        </w:rPr>
        <w:t>World Bank. (2026). Worldwide Governance Indicators. https://www.worldbank.org/en/publication/worldwide-governance-indicators</w:t>
      </w:r>
    </w:p>
    <w:p>
      <w:pPr>
        <w:spacing w:after="60" w:line="245" w:lineRule="auto"/>
        <w:ind w:left="360" w:hanging="360"/>
      </w:pPr>
      <w:r>
        <w:rPr>
          <w:rFonts w:ascii="Carlito" w:hAnsi="Carlito"/>
          <w:sz w:val="17"/>
        </w:rPr>
        <w:t>World Health Organization. (2025/2026). IHR State Party Self-Assessment Annual Reporting (SPAR) portal. https://extranet.who.int/sph/spar/analytics</w:t>
      </w:r>
    </w:p>
    <w:p>
      <w:pPr>
        <w:spacing w:after="60" w:line="245" w:lineRule="auto"/>
        <w:ind w:left="360" w:hanging="360"/>
      </w:pPr>
      <w:r>
        <w:rPr>
          <w:rFonts w:ascii="Carlito" w:hAnsi="Carlito"/>
          <w:sz w:val="17"/>
        </w:rPr>
        <w:t>World Health Organization. (2026). Global respiratory virus activity: weekly updates. https://www.who.int/publications/m/item/global-respiratory-virus-activity--weekly-update-n--593</w:t>
      </w:r>
    </w:p>
    <w:p>
      <w:r>
        <w:br w:type="page"/>
      </w:r>
    </w:p>
    <w:p>
      <w:pPr>
        <w:pStyle w:val="Heading1"/>
        <w:spacing w:after="100" w:before="0" w:line="259" w:lineRule="auto"/>
      </w:pPr>
      <w:r>
        <w:rPr>
          <w:rFonts w:ascii="Carlito" w:hAnsi="Carlito"/>
        </w:rPr>
        <w:t>Appendix A. Grey Swan / Archimedes Technical Change Note</w:t>
      </w:r>
    </w:p>
    <w:p>
      <w:pPr>
        <w:pStyle w:val="Heading2"/>
        <w:spacing w:after="100" w:before="0" w:line="259" w:lineRule="auto"/>
      </w:pPr>
      <w:r>
        <w:rPr>
          <w:rFonts w:ascii="Carlito" w:hAnsi="Carlito"/>
        </w:rPr>
        <w:t>Transition from v11.9 to v12.0</w:t>
      </w:r>
    </w:p>
    <w:tbl>
      <w:tblPr>
        <w:tblStyle w:val="TableGrid"/>
        <w:tblW w:type="auto" w:w="0"/>
        <w:jc w:val="center"/>
        <w:tblLook w:firstColumn="1" w:firstRow="1" w:lastColumn="0" w:lastRow="0" w:noHBand="0" w:noVBand="1" w:val="04A0"/>
      </w:tblPr>
      <w:tblGrid>
        <w:gridCol w:w="10051"/>
      </w:tblGrid>
      <w:tr>
        <w:trPr>
          <w:cantSplit/>
        </w:trPr>
        <w:tc>
          <w:tcPr>
            <w:tcW w:type="dxa" w:w="10051"/>
            <w:shd w:fill="D9EAF7"/>
            <w:tcMar>
              <w:top w:w="120" w:type="dxa"/>
              <w:start w:w="160" w:type="dxa"/>
              <w:bottom w:w="120" w:type="dxa"/>
              <w:end w:w="160" w:type="dxa"/>
            </w:tcMar>
          </w:tcPr>
          <w:p>
            <w:pPr>
              <w:spacing w:after="60"/>
            </w:pPr>
            <w:r>
              <w:rPr>
                <w:rFonts w:ascii="Carlito" w:hAnsi="Carlito"/>
                <w:b/>
                <w:color w:val="17365D"/>
                <w:sz w:val="22"/>
              </w:rPr>
              <w:t>Status: FROZEN METHODOLOGICAL SPECIFICATION</w:t>
            </w:r>
          </w:p>
          <w:p>
            <w:pPr>
              <w:spacing w:after="0" w:line="259" w:lineRule="auto"/>
            </w:pPr>
            <w:r>
              <w:rPr>
                <w:rFonts w:ascii="Carlito" w:hAnsi="Carlito"/>
                <w:sz w:val="20"/>
              </w:rPr>
              <w:t>This appendix reproduces the frozen v12.0 methodological change architecture. It documents the model design that governed the R1 baseline run. The architecture is not to be altered without an explicit version change.</w:t>
            </w:r>
          </w:p>
        </w:tc>
      </w:tr>
    </w:tbl>
    <w:p>
      <w:pPr>
        <w:spacing w:after="20"/>
      </w:pPr>
    </w:p>
    <w:p>
      <w:pPr>
        <w:pStyle w:val="Heading2"/>
        <w:spacing w:after="100" w:before="0" w:line="259" w:lineRule="auto"/>
      </w:pPr>
      <w:r>
        <w:rPr>
          <w:rFonts w:ascii="Carlito" w:hAnsi="Carlito"/>
        </w:rPr>
        <w:t>A1. Executive summary</w:t>
      </w:r>
    </w:p>
    <w:p>
      <w:pPr>
        <w:spacing w:after="100" w:before="0" w:line="259" w:lineRule="auto"/>
      </w:pPr>
      <w:r>
        <w:rPr>
          <w:rFonts w:ascii="Carlito" w:hAnsi="Carlito"/>
        </w:rPr>
        <w:t>Grey Swan / Archimedes v12.0 is a methodological upgrade rather than a redesign. The core structure remains unchanged: two leadership postures, Do The Right Thing (DTR) and Let It Rip (LIR); four system outcomes, Full Empowerment (FE), Managed Disruption (MD), Uneven Transition (UT), and Lost Control (LC); the 2030, 2040 and 2050 horizons; six Archimedes levers; climate as a cross-cutting constraint; the Wealth-Diffusion Gate; the evidence tiers; persistence and corroboration; bounded movements; symmetric reversion; public evidence only; and versioned manifests.</w:t>
      </w:r>
    </w:p>
    <w:p>
      <w:pPr>
        <w:spacing w:after="100" w:before="0" w:line="259" w:lineRule="auto"/>
      </w:pPr>
      <w:r>
        <w:rPr>
          <w:rFonts w:ascii="Carlito" w:hAnsi="Carlito"/>
        </w:rPr>
        <w:t>The rationale for v12 is that the Autumn 2026 v11.9 run exposed an increasing mismatch between several conceptual variables and the operational proxies used to measure them. Broadband speed is not equivalent to productive AI access. Internet outages are not a sufficient measure of institutional trust or AI accountability. DOI and ORCID activity do not adequately represent educational adaptability. Influenza incidence does not measure health-system capability.</w:t>
      </w:r>
    </w:p>
    <w:p>
      <w:pPr>
        <w:spacing w:after="100" w:before="0" w:line="259" w:lineRule="auto"/>
      </w:pPr>
      <w:r>
        <w:rPr>
          <w:rFonts w:ascii="Carlito" w:hAnsi="Carlito"/>
        </w:rPr>
        <w:t>v12 therefore adopts the principle: better measurement, not more measurement. It uses a smaller number of more conceptually direct probability-moving indicators, restores a formal Structural Trust Basket, makes economic growth and productivity explicitly visible through a Macro Performance Panel, introduces a Participation Stress Flag, strengthens the Wealth-Diffusion Gate, and adds a Posture Likelihood layer above the existing conditional DTR/LIR scenarios.</w:t>
      </w:r>
    </w:p>
    <w:p>
      <w:pPr>
        <w:pStyle w:val="Heading2"/>
        <w:spacing w:after="100" w:before="0" w:line="259" w:lineRule="auto"/>
      </w:pPr>
      <w:r>
        <w:rPr>
          <w:rFonts w:ascii="Carlito" w:hAnsi="Carlito"/>
        </w:rPr>
        <w:t>A2. Core architecture retained</w:t>
      </w:r>
    </w:p>
    <w:tbl>
      <w:tblPr>
        <w:tblStyle w:val="TableGrid"/>
        <w:tblW w:type="auto" w:w="0"/>
        <w:jc w:val="center"/>
        <w:tblLayout w:type="autofit"/>
        <w:tblLook w:firstColumn="1" w:firstRow="1" w:lastColumn="0" w:lastRow="0" w:noHBand="0" w:noVBand="1" w:val="04A0"/>
      </w:tblPr>
      <w:tblGrid>
        <w:gridCol w:w="5025"/>
        <w:gridCol w:w="5025"/>
      </w:tblGrid>
      <w:tr>
        <w:trPr>
          <w:tblHeader w:val="true"/>
          <w:cantSplit/>
        </w:trPr>
        <w:tc>
          <w:tcPr>
            <w:tcW w:type="dxa" w:w="4320"/>
            <w:shd w:fill="17365D"/>
            <w:tcMar>
              <w:top w:w="70" w:type="dxa"/>
              <w:start w:w="90" w:type="dxa"/>
              <w:bottom w:w="70" w:type="dxa"/>
              <w:end w:w="90" w:type="dxa"/>
            </w:tcMar>
            <w:vAlign w:val="center"/>
          </w:tcPr>
          <w:p>
            <w:pPr>
              <w:spacing w:after="0"/>
            </w:pPr>
            <w:r/>
            <w:r>
              <w:rPr>
                <w:rFonts w:ascii="Carlito" w:hAnsi="Carlito"/>
                <w:b/>
                <w:color w:val="FFFFFF"/>
                <w:sz w:val="16"/>
              </w:rPr>
              <w:t>Component</w:t>
            </w:r>
          </w:p>
        </w:tc>
        <w:tc>
          <w:tcPr>
            <w:tcW w:type="dxa" w:w="5760"/>
            <w:shd w:fill="17365D"/>
            <w:tcMar>
              <w:top w:w="70" w:type="dxa"/>
              <w:start w:w="90" w:type="dxa"/>
              <w:bottom w:w="70" w:type="dxa"/>
              <w:end w:w="90" w:type="dxa"/>
            </w:tcMar>
            <w:vAlign w:val="center"/>
          </w:tcPr>
          <w:p>
            <w:pPr>
              <w:spacing w:after="0"/>
            </w:pPr>
            <w:r/>
            <w:r>
              <w:rPr>
                <w:rFonts w:ascii="Carlito" w:hAnsi="Carlito"/>
                <w:b/>
                <w:color w:val="FFFFFF"/>
                <w:sz w:val="16"/>
              </w:rPr>
              <w:t>v12 treatment</w:t>
            </w:r>
          </w:p>
        </w:tc>
      </w:tr>
      <w:tr>
        <w:trPr>
          <w:cantSplit/>
        </w:trPr>
        <w:tc>
          <w:tcPr>
            <w:tcW w:type="dxa" w:w="4320"/>
            <w:tcMar>
              <w:top w:w="70" w:type="dxa"/>
              <w:start w:w="90" w:type="dxa"/>
              <w:bottom w:w="70" w:type="dxa"/>
              <w:end w:w="90" w:type="dxa"/>
            </w:tcMar>
            <w:vAlign w:val="top"/>
          </w:tcPr>
          <w:p>
            <w:pPr>
              <w:spacing w:after="0"/>
            </w:pPr>
            <w:r/>
            <w:r>
              <w:rPr>
                <w:rFonts w:ascii="Carlito" w:hAnsi="Carlito"/>
                <w:sz w:val="16"/>
              </w:rPr>
              <w:t>DTR and LIR postures</w:t>
            </w:r>
          </w:p>
        </w:tc>
        <w:tc>
          <w:tcPr>
            <w:tcW w:type="dxa" w:w="5760"/>
            <w:tcMar>
              <w:top w:w="70" w:type="dxa"/>
              <w:start w:w="90" w:type="dxa"/>
              <w:bottom w:w="70" w:type="dxa"/>
              <w:end w:w="90" w:type="dxa"/>
            </w:tcMar>
            <w:vAlign w:val="top"/>
          </w:tcPr>
          <w:p>
            <w:pPr>
              <w:spacing w:after="0"/>
            </w:pPr>
            <w:r/>
            <w:r>
              <w:rPr>
                <w:rFonts w:ascii="Carlito" w:hAnsi="Carlito"/>
                <w:sz w:val="16"/>
              </w:rPr>
              <w:t>Retained</w:t>
            </w:r>
          </w:p>
        </w:tc>
      </w:tr>
      <w:tr>
        <w:trPr>
          <w:cantSplit/>
        </w:trPr>
        <w:tc>
          <w:tcPr>
            <w:tcW w:type="dxa" w:w="4320"/>
            <w:tcMar>
              <w:top w:w="70" w:type="dxa"/>
              <w:start w:w="90" w:type="dxa"/>
              <w:bottom w:w="70" w:type="dxa"/>
              <w:end w:w="90" w:type="dxa"/>
            </w:tcMar>
            <w:vAlign w:val="top"/>
            <w:shd w:fill="F3F6FA"/>
          </w:tcPr>
          <w:p>
            <w:pPr>
              <w:spacing w:after="0"/>
            </w:pPr>
            <w:r/>
            <w:r>
              <w:rPr>
                <w:rFonts w:ascii="Carlito" w:hAnsi="Carlito"/>
                <w:sz w:val="16"/>
              </w:rPr>
              <w:t>FE, MD, UT and LC outcomes</w:t>
            </w:r>
          </w:p>
        </w:tc>
        <w:tc>
          <w:tcPr>
            <w:tcW w:type="dxa" w:w="5760"/>
            <w:tcMar>
              <w:top w:w="70" w:type="dxa"/>
              <w:start w:w="90" w:type="dxa"/>
              <w:bottom w:w="70" w:type="dxa"/>
              <w:end w:w="90" w:type="dxa"/>
            </w:tcMar>
            <w:vAlign w:val="top"/>
            <w:shd w:fill="F3F6FA"/>
          </w:tcPr>
          <w:p>
            <w:pPr>
              <w:spacing w:after="0"/>
            </w:pPr>
            <w:r/>
            <w:r>
              <w:rPr>
                <w:rFonts w:ascii="Carlito" w:hAnsi="Carlito"/>
                <w:sz w:val="16"/>
              </w:rPr>
              <w:t>Retained</w:t>
            </w:r>
          </w:p>
        </w:tc>
      </w:tr>
      <w:tr>
        <w:trPr>
          <w:cantSplit/>
        </w:trPr>
        <w:tc>
          <w:tcPr>
            <w:tcW w:type="dxa" w:w="4320"/>
            <w:tcMar>
              <w:top w:w="70" w:type="dxa"/>
              <w:start w:w="90" w:type="dxa"/>
              <w:bottom w:w="70" w:type="dxa"/>
              <w:end w:w="90" w:type="dxa"/>
            </w:tcMar>
            <w:vAlign w:val="top"/>
          </w:tcPr>
          <w:p>
            <w:pPr>
              <w:spacing w:after="0"/>
            </w:pPr>
            <w:r/>
            <w:r>
              <w:rPr>
                <w:rFonts w:ascii="Carlito" w:hAnsi="Carlito"/>
                <w:sz w:val="16"/>
              </w:rPr>
              <w:t>2030, 2040 and 2050 horizons</w:t>
            </w:r>
          </w:p>
        </w:tc>
        <w:tc>
          <w:tcPr>
            <w:tcW w:type="dxa" w:w="5760"/>
            <w:tcMar>
              <w:top w:w="70" w:type="dxa"/>
              <w:start w:w="90" w:type="dxa"/>
              <w:bottom w:w="70" w:type="dxa"/>
              <w:end w:w="90" w:type="dxa"/>
            </w:tcMar>
            <w:vAlign w:val="top"/>
          </w:tcPr>
          <w:p>
            <w:pPr>
              <w:spacing w:after="0"/>
            </w:pPr>
            <w:r/>
            <w:r>
              <w:rPr>
                <w:rFonts w:ascii="Carlito" w:hAnsi="Carlito"/>
                <w:sz w:val="16"/>
              </w:rPr>
              <w:t>Retained</w:t>
            </w:r>
          </w:p>
        </w:tc>
      </w:tr>
      <w:tr>
        <w:trPr>
          <w:cantSplit/>
        </w:trPr>
        <w:tc>
          <w:tcPr>
            <w:tcW w:type="dxa" w:w="4320"/>
            <w:tcMar>
              <w:top w:w="70" w:type="dxa"/>
              <w:start w:w="90" w:type="dxa"/>
              <w:bottom w:w="70" w:type="dxa"/>
              <w:end w:w="90" w:type="dxa"/>
            </w:tcMar>
            <w:vAlign w:val="top"/>
            <w:shd w:fill="F3F6FA"/>
          </w:tcPr>
          <w:p>
            <w:pPr>
              <w:spacing w:after="0"/>
            </w:pPr>
            <w:r/>
            <w:r>
              <w:rPr>
                <w:rFonts w:ascii="Carlito" w:hAnsi="Carlito"/>
                <w:sz w:val="16"/>
              </w:rPr>
              <w:t>Six Archimedes levers</w:t>
            </w:r>
          </w:p>
        </w:tc>
        <w:tc>
          <w:tcPr>
            <w:tcW w:type="dxa" w:w="5760"/>
            <w:tcMar>
              <w:top w:w="70" w:type="dxa"/>
              <w:start w:w="90" w:type="dxa"/>
              <w:bottom w:w="70" w:type="dxa"/>
              <w:end w:w="90" w:type="dxa"/>
            </w:tcMar>
            <w:vAlign w:val="top"/>
            <w:shd w:fill="F3F6FA"/>
          </w:tcPr>
          <w:p>
            <w:pPr>
              <w:spacing w:after="0"/>
            </w:pPr>
            <w:r/>
            <w:r>
              <w:rPr>
                <w:rFonts w:ascii="Carlito" w:hAnsi="Carlito"/>
                <w:sz w:val="16"/>
              </w:rPr>
              <w:t>Retained</w:t>
            </w:r>
          </w:p>
        </w:tc>
      </w:tr>
      <w:tr>
        <w:trPr>
          <w:cantSplit/>
        </w:trPr>
        <w:tc>
          <w:tcPr>
            <w:tcW w:type="dxa" w:w="4320"/>
            <w:tcMar>
              <w:top w:w="70" w:type="dxa"/>
              <w:start w:w="90" w:type="dxa"/>
              <w:bottom w:w="70" w:type="dxa"/>
              <w:end w:w="90" w:type="dxa"/>
            </w:tcMar>
            <w:vAlign w:val="top"/>
          </w:tcPr>
          <w:p>
            <w:pPr>
              <w:spacing w:after="0"/>
            </w:pPr>
            <w:r/>
            <w:r>
              <w:rPr>
                <w:rFonts w:ascii="Carlito" w:hAnsi="Carlito"/>
                <w:sz w:val="16"/>
              </w:rPr>
              <w:t>Climate</w:t>
            </w:r>
          </w:p>
        </w:tc>
        <w:tc>
          <w:tcPr>
            <w:tcW w:type="dxa" w:w="5760"/>
            <w:tcMar>
              <w:top w:w="70" w:type="dxa"/>
              <w:start w:w="90" w:type="dxa"/>
              <w:bottom w:w="70" w:type="dxa"/>
              <w:end w:w="90" w:type="dxa"/>
            </w:tcMar>
            <w:vAlign w:val="top"/>
          </w:tcPr>
          <w:p>
            <w:pPr>
              <w:spacing w:after="0"/>
            </w:pPr>
            <w:r/>
            <w:r>
              <w:rPr>
                <w:rFonts w:ascii="Carlito" w:hAnsi="Carlito"/>
                <w:sz w:val="16"/>
              </w:rPr>
              <w:t>Retained as cross-cutting constraint</w:t>
            </w:r>
          </w:p>
        </w:tc>
      </w:tr>
      <w:tr>
        <w:trPr>
          <w:cantSplit/>
        </w:trPr>
        <w:tc>
          <w:tcPr>
            <w:tcW w:type="dxa" w:w="4320"/>
            <w:tcMar>
              <w:top w:w="70" w:type="dxa"/>
              <w:start w:w="90" w:type="dxa"/>
              <w:bottom w:w="70" w:type="dxa"/>
              <w:end w:w="90" w:type="dxa"/>
            </w:tcMar>
            <w:vAlign w:val="top"/>
            <w:shd w:fill="F3F6FA"/>
          </w:tcPr>
          <w:p>
            <w:pPr>
              <w:spacing w:after="0"/>
            </w:pPr>
            <w:r/>
            <w:r>
              <w:rPr>
                <w:rFonts w:ascii="Carlito" w:hAnsi="Carlito"/>
                <w:sz w:val="16"/>
              </w:rPr>
              <w:t>Tier 0 canon</w:t>
            </w:r>
          </w:p>
        </w:tc>
        <w:tc>
          <w:tcPr>
            <w:tcW w:type="dxa" w:w="5760"/>
            <w:tcMar>
              <w:top w:w="70" w:type="dxa"/>
              <w:start w:w="90" w:type="dxa"/>
              <w:bottom w:w="70" w:type="dxa"/>
              <w:end w:w="90" w:type="dxa"/>
            </w:tcMar>
            <w:vAlign w:val="top"/>
            <w:shd w:fill="F3F6FA"/>
          </w:tcPr>
          <w:p>
            <w:pPr>
              <w:spacing w:after="0"/>
            </w:pPr>
            <w:r/>
            <w:r>
              <w:rPr>
                <w:rFonts w:ascii="Carlito" w:hAnsi="Carlito"/>
                <w:sz w:val="16"/>
              </w:rPr>
              <w:t>Retained</w:t>
            </w:r>
          </w:p>
        </w:tc>
      </w:tr>
      <w:tr>
        <w:trPr>
          <w:cantSplit/>
        </w:trPr>
        <w:tc>
          <w:tcPr>
            <w:tcW w:type="dxa" w:w="4320"/>
            <w:tcMar>
              <w:top w:w="70" w:type="dxa"/>
              <w:start w:w="90" w:type="dxa"/>
              <w:bottom w:w="70" w:type="dxa"/>
              <w:end w:w="90" w:type="dxa"/>
            </w:tcMar>
            <w:vAlign w:val="top"/>
          </w:tcPr>
          <w:p>
            <w:pPr>
              <w:spacing w:after="0"/>
            </w:pPr>
            <w:r/>
            <w:r>
              <w:rPr>
                <w:rFonts w:ascii="Carlito" w:hAnsi="Carlito"/>
                <w:sz w:val="16"/>
              </w:rPr>
              <w:t>Tier 1 slow anchors</w:t>
            </w:r>
          </w:p>
        </w:tc>
        <w:tc>
          <w:tcPr>
            <w:tcW w:type="dxa" w:w="5760"/>
            <w:tcMar>
              <w:top w:w="70" w:type="dxa"/>
              <w:start w:w="90" w:type="dxa"/>
              <w:bottom w:w="70" w:type="dxa"/>
              <w:end w:w="90" w:type="dxa"/>
            </w:tcMar>
            <w:vAlign w:val="top"/>
          </w:tcPr>
          <w:p>
            <w:pPr>
              <w:spacing w:after="0"/>
            </w:pPr>
            <w:r/>
            <w:r>
              <w:rPr>
                <w:rFonts w:ascii="Carlito" w:hAnsi="Carlito"/>
                <w:sz w:val="16"/>
              </w:rPr>
              <w:t>Retained and refined</w:t>
            </w:r>
          </w:p>
        </w:tc>
      </w:tr>
      <w:tr>
        <w:trPr>
          <w:cantSplit/>
        </w:trPr>
        <w:tc>
          <w:tcPr>
            <w:tcW w:type="dxa" w:w="4320"/>
            <w:tcMar>
              <w:top w:w="70" w:type="dxa"/>
              <w:start w:w="90" w:type="dxa"/>
              <w:bottom w:w="70" w:type="dxa"/>
              <w:end w:w="90" w:type="dxa"/>
            </w:tcMar>
            <w:vAlign w:val="top"/>
            <w:shd w:fill="F3F6FA"/>
          </w:tcPr>
          <w:p>
            <w:pPr>
              <w:spacing w:after="0"/>
            </w:pPr>
            <w:r/>
            <w:r>
              <w:rPr>
                <w:rFonts w:ascii="Carlito" w:hAnsi="Carlito"/>
                <w:sz w:val="16"/>
              </w:rPr>
              <w:t>Tier 2 operational evidence</w:t>
            </w:r>
          </w:p>
        </w:tc>
        <w:tc>
          <w:tcPr>
            <w:tcW w:type="dxa" w:w="5760"/>
            <w:tcMar>
              <w:top w:w="70" w:type="dxa"/>
              <w:start w:w="90" w:type="dxa"/>
              <w:bottom w:w="70" w:type="dxa"/>
              <w:end w:w="90" w:type="dxa"/>
            </w:tcMar>
            <w:vAlign w:val="top"/>
            <w:shd w:fill="F3F6FA"/>
          </w:tcPr>
          <w:p>
            <w:pPr>
              <w:spacing w:after="0"/>
            </w:pPr>
            <w:r/>
            <w:r>
              <w:rPr>
                <w:rFonts w:ascii="Carlito" w:hAnsi="Carlito"/>
                <w:sz w:val="16"/>
              </w:rPr>
              <w:t>Retained, indicators revised</w:t>
            </w:r>
          </w:p>
        </w:tc>
      </w:tr>
      <w:tr>
        <w:trPr>
          <w:cantSplit/>
        </w:trPr>
        <w:tc>
          <w:tcPr>
            <w:tcW w:type="dxa" w:w="4320"/>
            <w:tcMar>
              <w:top w:w="70" w:type="dxa"/>
              <w:start w:w="90" w:type="dxa"/>
              <w:bottom w:w="70" w:type="dxa"/>
              <w:end w:w="90" w:type="dxa"/>
            </w:tcMar>
            <w:vAlign w:val="top"/>
          </w:tcPr>
          <w:p>
            <w:pPr>
              <w:spacing w:after="0"/>
            </w:pPr>
            <w:r/>
            <w:r>
              <w:rPr>
                <w:rFonts w:ascii="Carlito" w:hAnsi="Carlito"/>
                <w:sz w:val="16"/>
              </w:rPr>
              <w:t>Tier 3 interpretive layer</w:t>
            </w:r>
          </w:p>
        </w:tc>
        <w:tc>
          <w:tcPr>
            <w:tcW w:type="dxa" w:w="5760"/>
            <w:tcMar>
              <w:top w:w="70" w:type="dxa"/>
              <w:start w:w="90" w:type="dxa"/>
              <w:bottom w:w="70" w:type="dxa"/>
              <w:end w:w="90" w:type="dxa"/>
            </w:tcMar>
            <w:vAlign w:val="top"/>
          </w:tcPr>
          <w:p>
            <w:pPr>
              <w:spacing w:after="0"/>
            </w:pPr>
            <w:r/>
            <w:r>
              <w:rPr>
                <w:rFonts w:ascii="Carlito" w:hAnsi="Carlito"/>
                <w:sz w:val="16"/>
              </w:rPr>
              <w:t>Retained</w:t>
            </w:r>
          </w:p>
        </w:tc>
      </w:tr>
      <w:tr>
        <w:trPr>
          <w:cantSplit/>
        </w:trPr>
        <w:tc>
          <w:tcPr>
            <w:tcW w:type="dxa" w:w="4320"/>
            <w:tcMar>
              <w:top w:w="70" w:type="dxa"/>
              <w:start w:w="90" w:type="dxa"/>
              <w:bottom w:w="70" w:type="dxa"/>
              <w:end w:w="90" w:type="dxa"/>
            </w:tcMar>
            <w:vAlign w:val="top"/>
            <w:shd w:fill="F3F6FA"/>
          </w:tcPr>
          <w:p>
            <w:pPr>
              <w:spacing w:after="0"/>
            </w:pPr>
            <w:r/>
            <w:r>
              <w:rPr>
                <w:rFonts w:ascii="Carlito" w:hAnsi="Carlito"/>
                <w:sz w:val="16"/>
              </w:rPr>
              <w:t>Wealth-Diffusion Gate</w:t>
            </w:r>
          </w:p>
        </w:tc>
        <w:tc>
          <w:tcPr>
            <w:tcW w:type="dxa" w:w="5760"/>
            <w:tcMar>
              <w:top w:w="70" w:type="dxa"/>
              <w:start w:w="90" w:type="dxa"/>
              <w:bottom w:w="70" w:type="dxa"/>
              <w:end w:w="90" w:type="dxa"/>
            </w:tcMar>
            <w:vAlign w:val="top"/>
            <w:shd w:fill="F3F6FA"/>
          </w:tcPr>
          <w:p>
            <w:pPr>
              <w:spacing w:after="0"/>
            </w:pPr>
            <w:r/>
            <w:r>
              <w:rPr>
                <w:rFonts w:ascii="Carlito" w:hAnsi="Carlito"/>
                <w:sz w:val="16"/>
              </w:rPr>
              <w:t>Retained and strengthened</w:t>
            </w:r>
          </w:p>
        </w:tc>
      </w:tr>
      <w:tr>
        <w:trPr>
          <w:cantSplit/>
        </w:trPr>
        <w:tc>
          <w:tcPr>
            <w:tcW w:type="dxa" w:w="4320"/>
            <w:tcMar>
              <w:top w:w="70" w:type="dxa"/>
              <w:start w:w="90" w:type="dxa"/>
              <w:bottom w:w="70" w:type="dxa"/>
              <w:end w:w="90" w:type="dxa"/>
            </w:tcMar>
            <w:vAlign w:val="top"/>
          </w:tcPr>
          <w:p>
            <w:pPr>
              <w:spacing w:after="0"/>
            </w:pPr>
            <w:r/>
            <w:r>
              <w:rPr>
                <w:rFonts w:ascii="Carlito" w:hAnsi="Carlito"/>
                <w:sz w:val="16"/>
              </w:rPr>
              <w:t>Persistence requirement</w:t>
            </w:r>
          </w:p>
        </w:tc>
        <w:tc>
          <w:tcPr>
            <w:tcW w:type="dxa" w:w="5760"/>
            <w:tcMar>
              <w:top w:w="70" w:type="dxa"/>
              <w:start w:w="90" w:type="dxa"/>
              <w:bottom w:w="70" w:type="dxa"/>
              <w:end w:w="90" w:type="dxa"/>
            </w:tcMar>
            <w:vAlign w:val="top"/>
          </w:tcPr>
          <w:p>
            <w:pPr>
              <w:spacing w:after="0"/>
            </w:pPr>
            <w:r/>
            <w:r>
              <w:rPr>
                <w:rFonts w:ascii="Carlito" w:hAnsi="Carlito"/>
                <w:sz w:val="16"/>
              </w:rPr>
              <w:t>Retained</w:t>
            </w:r>
          </w:p>
        </w:tc>
      </w:tr>
      <w:tr>
        <w:trPr>
          <w:cantSplit/>
        </w:trPr>
        <w:tc>
          <w:tcPr>
            <w:tcW w:type="dxa" w:w="4320"/>
            <w:tcMar>
              <w:top w:w="70" w:type="dxa"/>
              <w:start w:w="90" w:type="dxa"/>
              <w:bottom w:w="70" w:type="dxa"/>
              <w:end w:w="90" w:type="dxa"/>
            </w:tcMar>
            <w:vAlign w:val="top"/>
            <w:shd w:fill="F3F6FA"/>
          </w:tcPr>
          <w:p>
            <w:pPr>
              <w:spacing w:after="0"/>
            </w:pPr>
            <w:r/>
            <w:r>
              <w:rPr>
                <w:rFonts w:ascii="Carlito" w:hAnsi="Carlito"/>
                <w:sz w:val="16"/>
              </w:rPr>
              <w:t>Corroboration requirement</w:t>
            </w:r>
          </w:p>
        </w:tc>
        <w:tc>
          <w:tcPr>
            <w:tcW w:type="dxa" w:w="5760"/>
            <w:tcMar>
              <w:top w:w="70" w:type="dxa"/>
              <w:start w:w="90" w:type="dxa"/>
              <w:bottom w:w="70" w:type="dxa"/>
              <w:end w:w="90" w:type="dxa"/>
            </w:tcMar>
            <w:vAlign w:val="top"/>
            <w:shd w:fill="F3F6FA"/>
          </w:tcPr>
          <w:p>
            <w:pPr>
              <w:spacing w:after="0"/>
            </w:pPr>
            <w:r/>
            <w:r>
              <w:rPr>
                <w:rFonts w:ascii="Carlito" w:hAnsi="Carlito"/>
                <w:sz w:val="16"/>
              </w:rPr>
              <w:t>Retained</w:t>
            </w:r>
          </w:p>
        </w:tc>
      </w:tr>
      <w:tr>
        <w:trPr>
          <w:cantSplit/>
        </w:trPr>
        <w:tc>
          <w:tcPr>
            <w:tcW w:type="dxa" w:w="4320"/>
            <w:tcMar>
              <w:top w:w="70" w:type="dxa"/>
              <w:start w:w="90" w:type="dxa"/>
              <w:bottom w:w="70" w:type="dxa"/>
              <w:end w:w="90" w:type="dxa"/>
            </w:tcMar>
            <w:vAlign w:val="top"/>
          </w:tcPr>
          <w:p>
            <w:pPr>
              <w:spacing w:after="0"/>
            </w:pPr>
            <w:r/>
            <w:r>
              <w:rPr>
                <w:rFonts w:ascii="Carlito" w:hAnsi="Carlito"/>
                <w:sz w:val="16"/>
              </w:rPr>
              <w:t>Bounded probability movement</w:t>
            </w:r>
          </w:p>
        </w:tc>
        <w:tc>
          <w:tcPr>
            <w:tcW w:type="dxa" w:w="5760"/>
            <w:tcMar>
              <w:top w:w="70" w:type="dxa"/>
              <w:start w:w="90" w:type="dxa"/>
              <w:bottom w:w="70" w:type="dxa"/>
              <w:end w:w="90" w:type="dxa"/>
            </w:tcMar>
            <w:vAlign w:val="top"/>
          </w:tcPr>
          <w:p>
            <w:pPr>
              <w:spacing w:after="0"/>
            </w:pPr>
            <w:r/>
            <w:r>
              <w:rPr>
                <w:rFonts w:ascii="Carlito" w:hAnsi="Carlito"/>
                <w:sz w:val="16"/>
              </w:rPr>
              <w:t>Retained</w:t>
            </w:r>
          </w:p>
        </w:tc>
      </w:tr>
      <w:tr>
        <w:trPr>
          <w:cantSplit/>
        </w:trPr>
        <w:tc>
          <w:tcPr>
            <w:tcW w:type="dxa" w:w="4320"/>
            <w:tcMar>
              <w:top w:w="70" w:type="dxa"/>
              <w:start w:w="90" w:type="dxa"/>
              <w:bottom w:w="70" w:type="dxa"/>
              <w:end w:w="90" w:type="dxa"/>
            </w:tcMar>
            <w:vAlign w:val="top"/>
            <w:shd w:fill="F3F6FA"/>
          </w:tcPr>
          <w:p>
            <w:pPr>
              <w:spacing w:after="0"/>
            </w:pPr>
            <w:r/>
            <w:r>
              <w:rPr>
                <w:rFonts w:ascii="Carlito" w:hAnsi="Carlito"/>
                <w:sz w:val="16"/>
              </w:rPr>
              <w:t>Symmetric reversion</w:t>
            </w:r>
          </w:p>
        </w:tc>
        <w:tc>
          <w:tcPr>
            <w:tcW w:type="dxa" w:w="5760"/>
            <w:tcMar>
              <w:top w:w="70" w:type="dxa"/>
              <w:start w:w="90" w:type="dxa"/>
              <w:bottom w:w="70" w:type="dxa"/>
              <w:end w:w="90" w:type="dxa"/>
            </w:tcMar>
            <w:vAlign w:val="top"/>
            <w:shd w:fill="F3F6FA"/>
          </w:tcPr>
          <w:p>
            <w:pPr>
              <w:spacing w:after="0"/>
            </w:pPr>
            <w:r/>
            <w:r>
              <w:rPr>
                <w:rFonts w:ascii="Carlito" w:hAnsi="Carlito"/>
                <w:sz w:val="16"/>
              </w:rPr>
              <w:t>Retained</w:t>
            </w:r>
          </w:p>
        </w:tc>
      </w:tr>
      <w:tr>
        <w:trPr>
          <w:cantSplit/>
        </w:trPr>
        <w:tc>
          <w:tcPr>
            <w:tcW w:type="dxa" w:w="4320"/>
            <w:tcMar>
              <w:top w:w="70" w:type="dxa"/>
              <w:start w:w="90" w:type="dxa"/>
              <w:bottom w:w="70" w:type="dxa"/>
              <w:end w:w="90" w:type="dxa"/>
            </w:tcMar>
            <w:vAlign w:val="top"/>
          </w:tcPr>
          <w:p>
            <w:pPr>
              <w:spacing w:after="0"/>
            </w:pPr>
            <w:r/>
            <w:r>
              <w:rPr>
                <w:rFonts w:ascii="Carlito" w:hAnsi="Carlito"/>
                <w:sz w:val="16"/>
              </w:rPr>
              <w:t>Public evidence only</w:t>
            </w:r>
          </w:p>
        </w:tc>
        <w:tc>
          <w:tcPr>
            <w:tcW w:type="dxa" w:w="5760"/>
            <w:tcMar>
              <w:top w:w="70" w:type="dxa"/>
              <w:start w:w="90" w:type="dxa"/>
              <w:bottom w:w="70" w:type="dxa"/>
              <w:end w:w="90" w:type="dxa"/>
            </w:tcMar>
            <w:vAlign w:val="top"/>
          </w:tcPr>
          <w:p>
            <w:pPr>
              <w:spacing w:after="0"/>
            </w:pPr>
            <w:r/>
            <w:r>
              <w:rPr>
                <w:rFonts w:ascii="Carlito" w:hAnsi="Carlito"/>
                <w:sz w:val="16"/>
              </w:rPr>
              <w:t>Retained</w:t>
            </w:r>
          </w:p>
        </w:tc>
      </w:tr>
      <w:tr>
        <w:trPr>
          <w:cantSplit/>
        </w:trPr>
        <w:tc>
          <w:tcPr>
            <w:tcW w:type="dxa" w:w="4320"/>
            <w:tcMar>
              <w:top w:w="70" w:type="dxa"/>
              <w:start w:w="90" w:type="dxa"/>
              <w:bottom w:w="70" w:type="dxa"/>
              <w:end w:w="90" w:type="dxa"/>
            </w:tcMar>
            <w:vAlign w:val="top"/>
            <w:shd w:fill="F3F6FA"/>
          </w:tcPr>
          <w:p>
            <w:pPr>
              <w:spacing w:after="0"/>
            </w:pPr>
            <w:r/>
            <w:r>
              <w:rPr>
                <w:rFonts w:ascii="Carlito" w:hAnsi="Carlito"/>
                <w:sz w:val="16"/>
              </w:rPr>
              <w:t>No private telemetry</w:t>
            </w:r>
          </w:p>
        </w:tc>
        <w:tc>
          <w:tcPr>
            <w:tcW w:type="dxa" w:w="5760"/>
            <w:tcMar>
              <w:top w:w="70" w:type="dxa"/>
              <w:start w:w="90" w:type="dxa"/>
              <w:bottom w:w="70" w:type="dxa"/>
              <w:end w:w="90" w:type="dxa"/>
            </w:tcMar>
            <w:vAlign w:val="top"/>
            <w:shd w:fill="F3F6FA"/>
          </w:tcPr>
          <w:p>
            <w:pPr>
              <w:spacing w:after="0"/>
            </w:pPr>
            <w:r/>
            <w:r>
              <w:rPr>
                <w:rFonts w:ascii="Carlito" w:hAnsi="Carlito"/>
                <w:sz w:val="16"/>
              </w:rPr>
              <w:t>Retained</w:t>
            </w:r>
          </w:p>
        </w:tc>
      </w:tr>
      <w:tr>
        <w:trPr>
          <w:cantSplit/>
        </w:trPr>
        <w:tc>
          <w:tcPr>
            <w:tcW w:type="dxa" w:w="4320"/>
            <w:tcMar>
              <w:top w:w="70" w:type="dxa"/>
              <w:start w:w="90" w:type="dxa"/>
              <w:bottom w:w="70" w:type="dxa"/>
              <w:end w:w="90" w:type="dxa"/>
            </w:tcMar>
            <w:vAlign w:val="top"/>
          </w:tcPr>
          <w:p>
            <w:pPr>
              <w:spacing w:after="0"/>
            </w:pPr>
            <w:r/>
            <w:r>
              <w:rPr>
                <w:rFonts w:ascii="Carlito" w:hAnsi="Carlito"/>
                <w:sz w:val="16"/>
              </w:rPr>
              <w:t>Versioned manifests and move logs</w:t>
            </w:r>
          </w:p>
        </w:tc>
        <w:tc>
          <w:tcPr>
            <w:tcW w:type="dxa" w:w="5760"/>
            <w:tcMar>
              <w:top w:w="70" w:type="dxa"/>
              <w:start w:w="90" w:type="dxa"/>
              <w:bottom w:w="70" w:type="dxa"/>
              <w:end w:w="90" w:type="dxa"/>
            </w:tcMar>
            <w:vAlign w:val="top"/>
          </w:tcPr>
          <w:p>
            <w:pPr>
              <w:spacing w:after="0"/>
            </w:pPr>
            <w:r/>
            <w:r>
              <w:rPr>
                <w:rFonts w:ascii="Carlito" w:hAnsi="Carlito"/>
                <w:sz w:val="16"/>
              </w:rPr>
              <w:t>Retained</w:t>
            </w:r>
          </w:p>
        </w:tc>
      </w:tr>
    </w:tbl>
    <w:p>
      <w:pPr>
        <w:spacing w:after="20"/>
      </w:pPr>
    </w:p>
    <w:p>
      <w:pPr>
        <w:pStyle w:val="Heading2"/>
        <w:spacing w:after="100" w:before="0" w:line="259" w:lineRule="auto"/>
      </w:pPr>
      <w:r>
        <w:rPr>
          <w:rFonts w:ascii="Carlito" w:hAnsi="Carlito"/>
        </w:rPr>
        <w:t>A3. Complexity constraint</w:t>
      </w:r>
    </w:p>
    <w:p>
      <w:pPr>
        <w:spacing w:before="120" w:after="160"/>
        <w:ind w:left="504" w:right="504"/>
      </w:pPr>
      <w:r>
        <w:rPr>
          <w:rFonts w:ascii="Carlito" w:hAnsi="Carlito"/>
          <w:b/>
          <w:i/>
          <w:color w:val="17365D"/>
          <w:sz w:val="23"/>
        </w:rPr>
        <w:t>No Archimedes lever may contain more than two probability-moving Tier-2 indicator families.</w:t>
      </w:r>
    </w:p>
    <w:p>
      <w:pPr>
        <w:spacing w:after="100" w:before="0" w:line="259" w:lineRule="auto"/>
      </w:pPr>
      <w:r>
        <w:rPr>
          <w:rFonts w:ascii="Carlito" w:hAnsi="Carlito"/>
        </w:rPr>
        <w:t>Related measures within one family count as one evidential family rather than multiple independent pieces of corroboration. The target v12 configuration contains approximately ten core Tier-2 lever families across the six Archimedes levers. New indicators should normally replace weaker indicators rather than accumulate alongside them.</w:t>
      </w:r>
    </w:p>
    <w:p>
      <w:pPr>
        <w:pStyle w:val="Heading2"/>
        <w:spacing w:after="100" w:before="0" w:line="259" w:lineRule="auto"/>
      </w:pPr>
      <w:r>
        <w:rPr>
          <w:rFonts w:ascii="Carlito" w:hAnsi="Carlito"/>
        </w:rPr>
        <w:t>A4. Revised evidence architecture</w:t>
      </w:r>
    </w:p>
    <w:p>
      <w:pPr>
        <w:spacing w:after="100" w:before="0" w:line="259" w:lineRule="auto"/>
      </w:pPr>
      <w:r>
        <w:rPr>
          <w:rFonts w:ascii="Carlito" w:hAnsi="Carlito"/>
        </w:rPr>
        <w:t>Tier 0 remains the rulebook governing persistence, corroboration, movement caps, evidence quality, reversion, Wealth-Diffusion Gate requirements, source governance and audit logging.</w:t>
      </w:r>
    </w:p>
    <w:p>
      <w:pPr>
        <w:spacing w:after="100" w:before="0" w:line="259" w:lineRule="auto"/>
      </w:pPr>
      <w:r>
        <w:rPr>
          <w:rFonts w:ascii="Carlito" w:hAnsi="Carlito"/>
        </w:rPr>
        <w:t>Tier 1 describes structural conditions and now explicitly contains the Institutional Trust Basket, Macro Performance Panel, climate constraint, and demographic/state-capacity anchors. Tier 2 contains the small set of direct public operational indicators capable of moving probabilities. Tier 3 remains the interpretive and development layer and cannot move probabilities.</w:t>
      </w:r>
    </w:p>
    <w:p>
      <w:pPr>
        <w:pStyle w:val="Heading2"/>
        <w:spacing w:after="100" w:before="0" w:line="259" w:lineRule="auto"/>
      </w:pPr>
      <w:r>
        <w:rPr>
          <w:rFonts w:ascii="Carlito" w:hAnsi="Carlito"/>
        </w:rPr>
        <w:t>A5. Evidence cadence</w:t>
      </w:r>
    </w:p>
    <w:tbl>
      <w:tblPr>
        <w:tblStyle w:val="TableGrid"/>
        <w:tblW w:type="auto" w:w="0"/>
        <w:jc w:val="center"/>
        <w:tblLayout w:type="autofit"/>
        <w:tblLook w:firstColumn="1" w:firstRow="1" w:lastColumn="0" w:lastRow="0" w:noHBand="0" w:noVBand="1" w:val="04A0"/>
      </w:tblPr>
      <w:tblGrid>
        <w:gridCol w:w="5025"/>
        <w:gridCol w:w="5025"/>
      </w:tblGrid>
      <w:tr>
        <w:trPr>
          <w:tblHeader w:val="true"/>
          <w:cantSplit/>
        </w:trPr>
        <w:tc>
          <w:tcPr>
            <w:tcW w:type="dxa" w:w="4320"/>
            <w:shd w:fill="17365D"/>
            <w:tcMar>
              <w:top w:w="70" w:type="dxa"/>
              <w:start w:w="90" w:type="dxa"/>
              <w:bottom w:w="70" w:type="dxa"/>
              <w:end w:w="90" w:type="dxa"/>
            </w:tcMar>
            <w:vAlign w:val="center"/>
          </w:tcPr>
          <w:p>
            <w:pPr>
              <w:spacing w:after="0"/>
            </w:pPr>
            <w:r/>
            <w:r>
              <w:rPr>
                <w:rFonts w:ascii="Carlito" w:hAnsi="Carlito"/>
                <w:b/>
                <w:color w:val="FFFFFF"/>
                <w:sz w:val="17"/>
              </w:rPr>
              <w:t>Type</w:t>
            </w:r>
          </w:p>
        </w:tc>
        <w:tc>
          <w:tcPr>
            <w:tcW w:type="dxa" w:w="5760"/>
            <w:shd w:fill="17365D"/>
            <w:tcMar>
              <w:top w:w="70" w:type="dxa"/>
              <w:start w:w="90" w:type="dxa"/>
              <w:bottom w:w="70" w:type="dxa"/>
              <w:end w:w="90" w:type="dxa"/>
            </w:tcMar>
            <w:vAlign w:val="center"/>
          </w:tcPr>
          <w:p>
            <w:pPr>
              <w:spacing w:after="0"/>
            </w:pPr>
            <w:r/>
            <w:r>
              <w:rPr>
                <w:rFonts w:ascii="Carlito" w:hAnsi="Carlito"/>
                <w:b/>
                <w:color w:val="FFFFFF"/>
                <w:sz w:val="17"/>
              </w:rPr>
              <w:t>Typical cadence</w:t>
            </w:r>
          </w:p>
        </w:tc>
      </w:tr>
      <w:tr>
        <w:trPr>
          <w:cantSplit/>
        </w:trPr>
        <w:tc>
          <w:tcPr>
            <w:tcW w:type="dxa" w:w="4320"/>
            <w:tcMar>
              <w:top w:w="70" w:type="dxa"/>
              <w:start w:w="90" w:type="dxa"/>
              <w:bottom w:w="70" w:type="dxa"/>
              <w:end w:w="90" w:type="dxa"/>
            </w:tcMar>
            <w:vAlign w:val="top"/>
          </w:tcPr>
          <w:p>
            <w:pPr>
              <w:spacing w:after="0"/>
            </w:pPr>
            <w:r/>
            <w:r>
              <w:rPr>
                <w:rFonts w:ascii="Carlito" w:hAnsi="Carlito"/>
                <w:sz w:val="17"/>
              </w:rPr>
              <w:t>Fast</w:t>
            </w:r>
          </w:p>
        </w:tc>
        <w:tc>
          <w:tcPr>
            <w:tcW w:type="dxa" w:w="5760"/>
            <w:tcMar>
              <w:top w:w="70" w:type="dxa"/>
              <w:start w:w="90" w:type="dxa"/>
              <w:bottom w:w="70" w:type="dxa"/>
              <w:end w:w="90" w:type="dxa"/>
            </w:tcMar>
            <w:vAlign w:val="top"/>
          </w:tcPr>
          <w:p>
            <w:pPr>
              <w:spacing w:after="0"/>
            </w:pPr>
            <w:r/>
            <w:r>
              <w:rPr>
                <w:rFonts w:ascii="Carlito" w:hAnsi="Carlito"/>
                <w:sz w:val="17"/>
              </w:rPr>
              <w:t>Monthly to quarterly</w:t>
            </w:r>
          </w:p>
        </w:tc>
      </w:tr>
      <w:tr>
        <w:trPr>
          <w:cantSplit/>
        </w:trPr>
        <w:tc>
          <w:tcPr>
            <w:tcW w:type="dxa" w:w="4320"/>
            <w:tcMar>
              <w:top w:w="70" w:type="dxa"/>
              <w:start w:w="90" w:type="dxa"/>
              <w:bottom w:w="70" w:type="dxa"/>
              <w:end w:w="90" w:type="dxa"/>
            </w:tcMar>
            <w:vAlign w:val="top"/>
            <w:shd w:fill="F3F6FA"/>
          </w:tcPr>
          <w:p>
            <w:pPr>
              <w:spacing w:after="0"/>
            </w:pPr>
            <w:r/>
            <w:r>
              <w:rPr>
                <w:rFonts w:ascii="Carlito" w:hAnsi="Carlito"/>
                <w:sz w:val="17"/>
              </w:rPr>
              <w:t>Medium</w:t>
            </w:r>
          </w:p>
        </w:tc>
        <w:tc>
          <w:tcPr>
            <w:tcW w:type="dxa" w:w="5760"/>
            <w:tcMar>
              <w:top w:w="70" w:type="dxa"/>
              <w:start w:w="90" w:type="dxa"/>
              <w:bottom w:w="70" w:type="dxa"/>
              <w:end w:w="90" w:type="dxa"/>
            </w:tcMar>
            <w:vAlign w:val="top"/>
            <w:shd w:fill="F3F6FA"/>
          </w:tcPr>
          <w:p>
            <w:pPr>
              <w:spacing w:after="0"/>
            </w:pPr>
            <w:r/>
            <w:r>
              <w:rPr>
                <w:rFonts w:ascii="Carlito" w:hAnsi="Carlito"/>
                <w:sz w:val="17"/>
              </w:rPr>
              <w:t>Quarterly to semiannual</w:t>
            </w:r>
          </w:p>
        </w:tc>
      </w:tr>
      <w:tr>
        <w:trPr>
          <w:cantSplit/>
        </w:trPr>
        <w:tc>
          <w:tcPr>
            <w:tcW w:type="dxa" w:w="4320"/>
            <w:tcMar>
              <w:top w:w="70" w:type="dxa"/>
              <w:start w:w="90" w:type="dxa"/>
              <w:bottom w:w="70" w:type="dxa"/>
              <w:end w:w="90" w:type="dxa"/>
            </w:tcMar>
            <w:vAlign w:val="top"/>
          </w:tcPr>
          <w:p>
            <w:pPr>
              <w:spacing w:after="0"/>
            </w:pPr>
            <w:r/>
            <w:r>
              <w:rPr>
                <w:rFonts w:ascii="Carlito" w:hAnsi="Carlito"/>
                <w:sz w:val="17"/>
              </w:rPr>
              <w:t>Slow operational</w:t>
            </w:r>
          </w:p>
        </w:tc>
        <w:tc>
          <w:tcPr>
            <w:tcW w:type="dxa" w:w="5760"/>
            <w:tcMar>
              <w:top w:w="70" w:type="dxa"/>
              <w:start w:w="90" w:type="dxa"/>
              <w:bottom w:w="70" w:type="dxa"/>
              <w:end w:w="90" w:type="dxa"/>
            </w:tcMar>
            <w:vAlign w:val="top"/>
          </w:tcPr>
          <w:p>
            <w:pPr>
              <w:spacing w:after="0"/>
            </w:pPr>
            <w:r/>
            <w:r>
              <w:rPr>
                <w:rFonts w:ascii="Carlito" w:hAnsi="Carlito"/>
                <w:sz w:val="17"/>
              </w:rPr>
              <w:t>Annual or survey-cycle</w:t>
            </w:r>
          </w:p>
        </w:tc>
      </w:tr>
    </w:tbl>
    <w:p>
      <w:pPr>
        <w:spacing w:after="20"/>
      </w:pPr>
    </w:p>
    <w:p>
      <w:pPr>
        <w:spacing w:after="100" w:before="0" w:line="259" w:lineRule="auto"/>
      </w:pPr>
      <w:r>
        <w:rPr>
          <w:rFonts w:ascii="Carlito" w:hAnsi="Carlito"/>
        </w:rPr>
        <w:t>The model operates on a six-month Spring/Autumn cycle. At each run every registered source is checked, new eligible vintages are incorporated, no new vintage means no new information, missing observations are not imputed, and persistence is assessed across eligible observations rather than artificial calendar periods.</w:t>
      </w:r>
    </w:p>
    <w:p>
      <w:pPr>
        <w:pStyle w:val="Heading2"/>
        <w:spacing w:after="100" w:before="0" w:line="259" w:lineRule="auto"/>
      </w:pPr>
      <w:r>
        <w:rPr>
          <w:rFonts w:ascii="Carlito" w:hAnsi="Carlito"/>
        </w:rPr>
        <w:t>A6. Structural Trust Basket restored</w:t>
      </w:r>
    </w:p>
    <w:p>
      <w:pPr>
        <w:spacing w:after="100" w:before="0" w:line="259" w:lineRule="auto"/>
      </w:pPr>
      <w:r>
        <w:rPr>
          <w:rFonts w:ascii="Carlito" w:hAnsi="Carlito"/>
        </w:rPr>
        <w:t>v12 distinguishes structural institutional trust from AI-era information integrity and accountability. The former asks whether institutions remain effective, legitimate, clean and trusted enough to govern. The latter asks whether mechanisms required for accountable AI deployment are actually being implemented.</w:t>
      </w:r>
    </w:p>
    <w:tbl>
      <w:tblPr>
        <w:tblStyle w:val="TableGrid"/>
        <w:tblW w:type="auto" w:w="0"/>
        <w:jc w:val="center"/>
        <w:tblLayout w:type="autofit"/>
        <w:tblLook w:firstColumn="1" w:firstRow="1" w:lastColumn="0" w:lastRow="0" w:noHBand="0" w:noVBand="1" w:val="04A0"/>
      </w:tblPr>
      <w:tblGrid>
        <w:gridCol w:w="3350"/>
        <w:gridCol w:w="3350"/>
        <w:gridCol w:w="3350"/>
      </w:tblGrid>
      <w:tr>
        <w:trPr>
          <w:tblHeader w:val="true"/>
          <w:cantSplit/>
        </w:trPr>
        <w:tc>
          <w:tcPr>
            <w:tcW w:type="dxa" w:w="2880"/>
            <w:shd w:fill="17365D"/>
            <w:tcMar>
              <w:top w:w="70" w:type="dxa"/>
              <w:start w:w="90" w:type="dxa"/>
              <w:bottom w:w="70" w:type="dxa"/>
              <w:end w:w="90" w:type="dxa"/>
            </w:tcMar>
            <w:vAlign w:val="center"/>
          </w:tcPr>
          <w:p>
            <w:pPr>
              <w:spacing w:after="0"/>
            </w:pPr>
            <w:r/>
            <w:r>
              <w:rPr>
                <w:rFonts w:ascii="Carlito" w:hAnsi="Carlito"/>
                <w:b/>
                <w:color w:val="FFFFFF"/>
                <w:sz w:val="16"/>
              </w:rPr>
              <w:t>Dimension</w:t>
            </w:r>
          </w:p>
        </w:tc>
        <w:tc>
          <w:tcPr>
            <w:tcW w:type="dxa" w:w="3456"/>
            <w:shd w:fill="17365D"/>
            <w:tcMar>
              <w:top w:w="70" w:type="dxa"/>
              <w:start w:w="90" w:type="dxa"/>
              <w:bottom w:w="70" w:type="dxa"/>
              <w:end w:w="90" w:type="dxa"/>
            </w:tcMar>
            <w:vAlign w:val="center"/>
          </w:tcPr>
          <w:p>
            <w:pPr>
              <w:spacing w:after="0"/>
            </w:pPr>
            <w:r/>
            <w:r>
              <w:rPr>
                <w:rFonts w:ascii="Carlito" w:hAnsi="Carlito"/>
                <w:b/>
                <w:color w:val="FFFFFF"/>
                <w:sz w:val="16"/>
              </w:rPr>
              <w:t>Measure</w:t>
            </w:r>
          </w:p>
        </w:tc>
        <w:tc>
          <w:tcPr>
            <w:tcW w:type="dxa" w:w="4032"/>
            <w:shd w:fill="17365D"/>
            <w:tcMar>
              <w:top w:w="70" w:type="dxa"/>
              <w:start w:w="90" w:type="dxa"/>
              <w:bottom w:w="70" w:type="dxa"/>
              <w:end w:w="90" w:type="dxa"/>
            </w:tcMar>
            <w:vAlign w:val="center"/>
          </w:tcPr>
          <w:p>
            <w:pPr>
              <w:spacing w:after="0"/>
            </w:pPr>
            <w:r/>
            <w:r>
              <w:rPr>
                <w:rFonts w:ascii="Carlito" w:hAnsi="Carlito"/>
                <w:b/>
                <w:color w:val="FFFFFF"/>
                <w:sz w:val="16"/>
              </w:rPr>
              <w:t>Primary source</w:t>
            </w:r>
          </w:p>
        </w:tc>
      </w:tr>
      <w:tr>
        <w:trPr>
          <w:cantSplit/>
        </w:trPr>
        <w:tc>
          <w:tcPr>
            <w:tcW w:type="dxa" w:w="2880"/>
            <w:tcMar>
              <w:top w:w="70" w:type="dxa"/>
              <w:start w:w="90" w:type="dxa"/>
              <w:bottom w:w="70" w:type="dxa"/>
              <w:end w:w="90" w:type="dxa"/>
            </w:tcMar>
            <w:vAlign w:val="top"/>
          </w:tcPr>
          <w:p>
            <w:pPr>
              <w:spacing w:after="0"/>
            </w:pPr>
            <w:r/>
            <w:r>
              <w:rPr>
                <w:rFonts w:ascii="Carlito" w:hAnsi="Carlito"/>
                <w:sz w:val="16"/>
              </w:rPr>
              <w:t>Institutional effectiveness</w:t>
            </w:r>
          </w:p>
        </w:tc>
        <w:tc>
          <w:tcPr>
            <w:tcW w:type="dxa" w:w="3456"/>
            <w:tcMar>
              <w:top w:w="70" w:type="dxa"/>
              <w:start w:w="90" w:type="dxa"/>
              <w:bottom w:w="70" w:type="dxa"/>
              <w:end w:w="90" w:type="dxa"/>
            </w:tcMar>
            <w:vAlign w:val="top"/>
          </w:tcPr>
          <w:p>
            <w:pPr>
              <w:spacing w:after="0"/>
            </w:pPr>
            <w:r/>
            <w:r>
              <w:rPr>
                <w:rFonts w:ascii="Carlito" w:hAnsi="Carlito"/>
                <w:sz w:val="16"/>
              </w:rPr>
              <w:t>Government Effectiveness</w:t>
            </w:r>
          </w:p>
        </w:tc>
        <w:tc>
          <w:tcPr>
            <w:tcW w:type="dxa" w:w="4032"/>
            <w:tcMar>
              <w:top w:w="70" w:type="dxa"/>
              <w:start w:w="90" w:type="dxa"/>
              <w:bottom w:w="70" w:type="dxa"/>
              <w:end w:w="90" w:type="dxa"/>
            </w:tcMar>
            <w:vAlign w:val="top"/>
          </w:tcPr>
          <w:p>
            <w:pPr>
              <w:spacing w:after="0"/>
            </w:pPr>
            <w:r/>
            <w:r>
              <w:rPr>
                <w:rFonts w:ascii="Carlito" w:hAnsi="Carlito"/>
                <w:sz w:val="16"/>
              </w:rPr>
              <w:t>World Bank WGI</w:t>
            </w:r>
          </w:p>
        </w:tc>
      </w:tr>
      <w:tr>
        <w:trPr>
          <w:cantSplit/>
        </w:trPr>
        <w:tc>
          <w:tcPr>
            <w:tcW w:type="dxa" w:w="2880"/>
            <w:tcMar>
              <w:top w:w="70" w:type="dxa"/>
              <w:start w:w="90" w:type="dxa"/>
              <w:bottom w:w="70" w:type="dxa"/>
              <w:end w:w="90" w:type="dxa"/>
            </w:tcMar>
            <w:vAlign w:val="top"/>
            <w:shd w:fill="F3F6FA"/>
          </w:tcPr>
          <w:p>
            <w:pPr>
              <w:spacing w:after="0"/>
            </w:pPr>
            <w:r/>
            <w:r>
              <w:rPr>
                <w:rFonts w:ascii="Carlito" w:hAnsi="Carlito"/>
                <w:sz w:val="16"/>
              </w:rPr>
              <w:t>Public integrity</w:t>
            </w:r>
          </w:p>
        </w:tc>
        <w:tc>
          <w:tcPr>
            <w:tcW w:type="dxa" w:w="3456"/>
            <w:tcMar>
              <w:top w:w="70" w:type="dxa"/>
              <w:start w:w="90" w:type="dxa"/>
              <w:bottom w:w="70" w:type="dxa"/>
              <w:end w:w="90" w:type="dxa"/>
            </w:tcMar>
            <w:vAlign w:val="top"/>
            <w:shd w:fill="F3F6FA"/>
          </w:tcPr>
          <w:p>
            <w:pPr>
              <w:spacing w:after="0"/>
            </w:pPr>
            <w:r/>
            <w:r>
              <w:rPr>
                <w:rFonts w:ascii="Carlito" w:hAnsi="Carlito"/>
                <w:sz w:val="16"/>
              </w:rPr>
              <w:t>Corruption Perceptions Index</w:t>
            </w:r>
          </w:p>
        </w:tc>
        <w:tc>
          <w:tcPr>
            <w:tcW w:type="dxa" w:w="4032"/>
            <w:tcMar>
              <w:top w:w="70" w:type="dxa"/>
              <w:start w:w="90" w:type="dxa"/>
              <w:bottom w:w="70" w:type="dxa"/>
              <w:end w:w="90" w:type="dxa"/>
            </w:tcMar>
            <w:vAlign w:val="top"/>
            <w:shd w:fill="F3F6FA"/>
          </w:tcPr>
          <w:p>
            <w:pPr>
              <w:spacing w:after="0"/>
            </w:pPr>
            <w:r/>
            <w:r>
              <w:rPr>
                <w:rFonts w:ascii="Carlito" w:hAnsi="Carlito"/>
                <w:sz w:val="16"/>
              </w:rPr>
              <w:t>Transparency International</w:t>
            </w:r>
          </w:p>
        </w:tc>
      </w:tr>
      <w:tr>
        <w:trPr>
          <w:cantSplit/>
        </w:trPr>
        <w:tc>
          <w:tcPr>
            <w:tcW w:type="dxa" w:w="2880"/>
            <w:tcMar>
              <w:top w:w="70" w:type="dxa"/>
              <w:start w:w="90" w:type="dxa"/>
              <w:bottom w:w="70" w:type="dxa"/>
              <w:end w:w="90" w:type="dxa"/>
            </w:tcMar>
            <w:vAlign w:val="top"/>
          </w:tcPr>
          <w:p>
            <w:pPr>
              <w:spacing w:after="0"/>
            </w:pPr>
            <w:r/>
            <w:r>
              <w:rPr>
                <w:rFonts w:ascii="Carlito" w:hAnsi="Carlito"/>
                <w:sz w:val="16"/>
              </w:rPr>
              <w:t>Political/civic legitimacy</w:t>
            </w:r>
          </w:p>
        </w:tc>
        <w:tc>
          <w:tcPr>
            <w:tcW w:type="dxa" w:w="3456"/>
            <w:tcMar>
              <w:top w:w="70" w:type="dxa"/>
              <w:start w:w="90" w:type="dxa"/>
              <w:bottom w:w="70" w:type="dxa"/>
              <w:end w:w="90" w:type="dxa"/>
            </w:tcMar>
            <w:vAlign w:val="top"/>
          </w:tcPr>
          <w:p>
            <w:pPr>
              <w:spacing w:after="0"/>
            </w:pPr>
            <w:r/>
            <w:r>
              <w:rPr>
                <w:rFonts w:ascii="Carlito" w:hAnsi="Carlito"/>
                <w:sz w:val="16"/>
              </w:rPr>
              <w:t>Freedom in the World</w:t>
            </w:r>
          </w:p>
        </w:tc>
        <w:tc>
          <w:tcPr>
            <w:tcW w:type="dxa" w:w="4032"/>
            <w:tcMar>
              <w:top w:w="70" w:type="dxa"/>
              <w:start w:w="90" w:type="dxa"/>
              <w:bottom w:w="70" w:type="dxa"/>
              <w:end w:w="90" w:type="dxa"/>
            </w:tcMar>
            <w:vAlign w:val="top"/>
          </w:tcPr>
          <w:p>
            <w:pPr>
              <w:spacing w:after="0"/>
            </w:pPr>
            <w:r/>
            <w:r>
              <w:rPr>
                <w:rFonts w:ascii="Carlito" w:hAnsi="Carlito"/>
                <w:sz w:val="16"/>
              </w:rPr>
              <w:t>Freedom House</w:t>
            </w:r>
          </w:p>
        </w:tc>
      </w:tr>
      <w:tr>
        <w:trPr>
          <w:cantSplit/>
        </w:trPr>
        <w:tc>
          <w:tcPr>
            <w:tcW w:type="dxa" w:w="2880"/>
            <w:tcMar>
              <w:top w:w="70" w:type="dxa"/>
              <w:start w:w="90" w:type="dxa"/>
              <w:bottom w:w="70" w:type="dxa"/>
              <w:end w:w="90" w:type="dxa"/>
            </w:tcMar>
            <w:vAlign w:val="top"/>
            <w:shd w:fill="F3F6FA"/>
          </w:tcPr>
          <w:p>
            <w:pPr>
              <w:spacing w:after="0"/>
            </w:pPr>
            <w:r/>
            <w:r>
              <w:rPr>
                <w:rFonts w:ascii="Carlito" w:hAnsi="Carlito"/>
                <w:sz w:val="16"/>
              </w:rPr>
              <w:t>Expressed institutional trust</w:t>
            </w:r>
          </w:p>
        </w:tc>
        <w:tc>
          <w:tcPr>
            <w:tcW w:type="dxa" w:w="3456"/>
            <w:tcMar>
              <w:top w:w="70" w:type="dxa"/>
              <w:start w:w="90" w:type="dxa"/>
              <w:bottom w:w="70" w:type="dxa"/>
              <w:end w:w="90" w:type="dxa"/>
            </w:tcMar>
            <w:vAlign w:val="top"/>
            <w:shd w:fill="F3F6FA"/>
          </w:tcPr>
          <w:p>
            <w:pPr>
              <w:spacing w:after="0"/>
            </w:pPr>
            <w:r/>
            <w:r>
              <w:rPr>
                <w:rFonts w:ascii="Carlito" w:hAnsi="Carlito"/>
                <w:sz w:val="16"/>
              </w:rPr>
              <w:t>Confidence in national government / major institutions</w:t>
            </w:r>
          </w:p>
        </w:tc>
        <w:tc>
          <w:tcPr>
            <w:tcW w:type="dxa" w:w="4032"/>
            <w:tcMar>
              <w:top w:w="70" w:type="dxa"/>
              <w:start w:w="90" w:type="dxa"/>
              <w:bottom w:w="70" w:type="dxa"/>
              <w:end w:w="90" w:type="dxa"/>
            </w:tcMar>
            <w:vAlign w:val="top"/>
            <w:shd w:fill="F3F6FA"/>
          </w:tcPr>
          <w:p>
            <w:pPr>
              <w:spacing w:after="0"/>
            </w:pPr>
            <w:r/>
            <w:r>
              <w:rPr>
                <w:rFonts w:ascii="Carlito" w:hAnsi="Carlito"/>
                <w:sz w:val="16"/>
              </w:rPr>
              <w:t>Public Gallup World Poll aggregates, including OECD-published series</w:t>
            </w:r>
          </w:p>
        </w:tc>
      </w:tr>
    </w:tbl>
    <w:p>
      <w:pPr>
        <w:spacing w:after="20"/>
      </w:pPr>
    </w:p>
    <w:p>
      <w:pPr>
        <w:spacing w:after="100" w:before="0" w:line="259" w:lineRule="auto"/>
      </w:pPr>
      <w:r>
        <w:rPr>
          <w:rFonts w:ascii="Carlito" w:hAnsi="Carlito"/>
        </w:rPr>
        <w:t>The four measures are not averaged into a synthetic Trust Index. They form a corroborating Tier-1 basket. Gallup replaces Edelman where reproducible public aggregates are available; proprietary Gallup microdata are not used.</w:t>
      </w:r>
    </w:p>
    <w:p>
      <w:pPr>
        <w:pStyle w:val="Heading2"/>
        <w:spacing w:after="100" w:before="0" w:line="259" w:lineRule="auto"/>
      </w:pPr>
      <w:r>
        <w:rPr>
          <w:rFonts w:ascii="Carlito" w:hAnsi="Carlito"/>
        </w:rPr>
        <w:t>A7. Macro Performance Panel</w:t>
      </w:r>
    </w:p>
    <w:p>
      <w:pPr>
        <w:spacing w:before="120" w:after="160"/>
        <w:ind w:left="504" w:right="504"/>
      </w:pPr>
      <w:r>
        <w:rPr>
          <w:rFonts w:ascii="Carlito" w:hAnsi="Carlito"/>
          <w:b/>
          <w:i/>
          <w:color w:val="17365D"/>
          <w:sz w:val="23"/>
        </w:rPr>
        <w:t>Growth and productivity are necessary components of broad prosperity, but they are not equivalent to empowerment.</w:t>
      </w:r>
    </w:p>
    <w:tbl>
      <w:tblPr>
        <w:tblStyle w:val="TableGrid"/>
        <w:tblW w:type="auto" w:w="0"/>
        <w:jc w:val="center"/>
        <w:tblLayout w:type="autofit"/>
        <w:tblLook w:firstColumn="1" w:firstRow="1" w:lastColumn="0" w:lastRow="0" w:noHBand="0" w:noVBand="1" w:val="04A0"/>
      </w:tblPr>
      <w:tblGrid>
        <w:gridCol w:w="3350"/>
        <w:gridCol w:w="3350"/>
        <w:gridCol w:w="3350"/>
      </w:tblGrid>
      <w:tr>
        <w:trPr>
          <w:tblHeader w:val="true"/>
          <w:cantSplit/>
        </w:trPr>
        <w:tc>
          <w:tcPr>
            <w:tcW w:type="dxa" w:w="2880"/>
            <w:shd w:fill="17365D"/>
            <w:tcMar>
              <w:top w:w="70" w:type="dxa"/>
              <w:start w:w="90" w:type="dxa"/>
              <w:bottom w:w="70" w:type="dxa"/>
              <w:end w:w="90" w:type="dxa"/>
            </w:tcMar>
            <w:vAlign w:val="center"/>
          </w:tcPr>
          <w:p>
            <w:pPr>
              <w:spacing w:after="0"/>
            </w:pPr>
            <w:r/>
            <w:r>
              <w:rPr>
                <w:rFonts w:ascii="Carlito" w:hAnsi="Carlito"/>
                <w:b/>
                <w:color w:val="FFFFFF"/>
                <w:sz w:val="16"/>
              </w:rPr>
              <w:t>Measure</w:t>
            </w:r>
          </w:p>
        </w:tc>
        <w:tc>
          <w:tcPr>
            <w:tcW w:type="dxa" w:w="3456"/>
            <w:shd w:fill="17365D"/>
            <w:tcMar>
              <w:top w:w="70" w:type="dxa"/>
              <w:start w:w="90" w:type="dxa"/>
              <w:bottom w:w="70" w:type="dxa"/>
              <w:end w:w="90" w:type="dxa"/>
            </w:tcMar>
            <w:vAlign w:val="center"/>
          </w:tcPr>
          <w:p>
            <w:pPr>
              <w:spacing w:after="0"/>
            </w:pPr>
            <w:r/>
            <w:r>
              <w:rPr>
                <w:rFonts w:ascii="Carlito" w:hAnsi="Carlito"/>
                <w:b/>
                <w:color w:val="FFFFFF"/>
                <w:sz w:val="16"/>
              </w:rPr>
              <w:t>Primary source</w:t>
            </w:r>
          </w:p>
        </w:tc>
        <w:tc>
          <w:tcPr>
            <w:tcW w:type="dxa" w:w="4032"/>
            <w:shd w:fill="17365D"/>
            <w:tcMar>
              <w:top w:w="70" w:type="dxa"/>
              <w:start w:w="90" w:type="dxa"/>
              <w:bottom w:w="70" w:type="dxa"/>
              <w:end w:w="90" w:type="dxa"/>
            </w:tcMar>
            <w:vAlign w:val="center"/>
          </w:tcPr>
          <w:p>
            <w:pPr>
              <w:spacing w:after="0"/>
            </w:pPr>
            <w:r/>
            <w:r>
              <w:rPr>
                <w:rFonts w:ascii="Carlito" w:hAnsi="Carlito"/>
                <w:b/>
                <w:color w:val="FFFFFF"/>
                <w:sz w:val="16"/>
              </w:rPr>
              <w:t>Purpose</w:t>
            </w:r>
          </w:p>
        </w:tc>
      </w:tr>
      <w:tr>
        <w:trPr>
          <w:cantSplit/>
        </w:trPr>
        <w:tc>
          <w:tcPr>
            <w:tcW w:type="dxa" w:w="2880"/>
            <w:tcMar>
              <w:top w:w="70" w:type="dxa"/>
              <w:start w:w="90" w:type="dxa"/>
              <w:bottom w:w="70" w:type="dxa"/>
              <w:end w:w="90" w:type="dxa"/>
            </w:tcMar>
            <w:vAlign w:val="top"/>
          </w:tcPr>
          <w:p>
            <w:pPr>
              <w:spacing w:after="0"/>
            </w:pPr>
            <w:r/>
            <w:r>
              <w:rPr>
                <w:rFonts w:ascii="Carlito" w:hAnsi="Carlito"/>
                <w:sz w:val="16"/>
              </w:rPr>
              <w:t>Real GDP growth</w:t>
            </w:r>
          </w:p>
        </w:tc>
        <w:tc>
          <w:tcPr>
            <w:tcW w:type="dxa" w:w="3456"/>
            <w:tcMar>
              <w:top w:w="70" w:type="dxa"/>
              <w:start w:w="90" w:type="dxa"/>
              <w:bottom w:w="70" w:type="dxa"/>
              <w:end w:w="90" w:type="dxa"/>
            </w:tcMar>
            <w:vAlign w:val="top"/>
          </w:tcPr>
          <w:p>
            <w:pPr>
              <w:spacing w:after="0"/>
            </w:pPr>
            <w:r/>
            <w:r>
              <w:rPr>
                <w:rFonts w:ascii="Carlito" w:hAnsi="Carlito"/>
                <w:sz w:val="16"/>
              </w:rPr>
              <w:t>IMF World Economic Outlook</w:t>
            </w:r>
          </w:p>
        </w:tc>
        <w:tc>
          <w:tcPr>
            <w:tcW w:type="dxa" w:w="4032"/>
            <w:tcMar>
              <w:top w:w="70" w:type="dxa"/>
              <w:start w:w="90" w:type="dxa"/>
              <w:bottom w:w="70" w:type="dxa"/>
              <w:end w:w="90" w:type="dxa"/>
            </w:tcMar>
            <w:vAlign w:val="top"/>
          </w:tcPr>
          <w:p>
            <w:pPr>
              <w:spacing w:after="0"/>
            </w:pPr>
            <w:r/>
            <w:r>
              <w:rPr>
                <w:rFonts w:ascii="Carlito" w:hAnsi="Carlito"/>
                <w:sz w:val="16"/>
              </w:rPr>
              <w:t>Aggregate economic expansion</w:t>
            </w:r>
          </w:p>
        </w:tc>
      </w:tr>
      <w:tr>
        <w:trPr>
          <w:cantSplit/>
        </w:trPr>
        <w:tc>
          <w:tcPr>
            <w:tcW w:type="dxa" w:w="2880"/>
            <w:tcMar>
              <w:top w:w="70" w:type="dxa"/>
              <w:start w:w="90" w:type="dxa"/>
              <w:bottom w:w="70" w:type="dxa"/>
              <w:end w:w="90" w:type="dxa"/>
            </w:tcMar>
            <w:vAlign w:val="top"/>
            <w:shd w:fill="F3F6FA"/>
          </w:tcPr>
          <w:p>
            <w:pPr>
              <w:spacing w:after="0"/>
            </w:pPr>
            <w:r/>
            <w:r>
              <w:rPr>
                <w:rFonts w:ascii="Carlito" w:hAnsi="Carlito"/>
                <w:sz w:val="16"/>
              </w:rPr>
              <w:t>Real GDP per capita growth</w:t>
            </w:r>
          </w:p>
        </w:tc>
        <w:tc>
          <w:tcPr>
            <w:tcW w:type="dxa" w:w="3456"/>
            <w:tcMar>
              <w:top w:w="70" w:type="dxa"/>
              <w:start w:w="90" w:type="dxa"/>
              <w:bottom w:w="70" w:type="dxa"/>
              <w:end w:w="90" w:type="dxa"/>
            </w:tcMar>
            <w:vAlign w:val="top"/>
            <w:shd w:fill="F3F6FA"/>
          </w:tcPr>
          <w:p>
            <w:pPr>
              <w:spacing w:after="0"/>
            </w:pPr>
            <w:r/>
            <w:r>
              <w:rPr>
                <w:rFonts w:ascii="Carlito" w:hAnsi="Carlito"/>
                <w:sz w:val="16"/>
              </w:rPr>
              <w:t>IMF / World Bank</w:t>
            </w:r>
          </w:p>
        </w:tc>
        <w:tc>
          <w:tcPr>
            <w:tcW w:type="dxa" w:w="4032"/>
            <w:tcMar>
              <w:top w:w="70" w:type="dxa"/>
              <w:start w:w="90" w:type="dxa"/>
              <w:bottom w:w="70" w:type="dxa"/>
              <w:end w:w="90" w:type="dxa"/>
            </w:tcMar>
            <w:vAlign w:val="top"/>
            <w:shd w:fill="F3F6FA"/>
          </w:tcPr>
          <w:p>
            <w:pPr>
              <w:spacing w:after="0"/>
            </w:pPr>
            <w:r/>
            <w:r>
              <w:rPr>
                <w:rFonts w:ascii="Carlito" w:hAnsi="Carlito"/>
                <w:sz w:val="16"/>
              </w:rPr>
              <w:t>Whether gains exceed population growth</w:t>
            </w:r>
          </w:p>
        </w:tc>
      </w:tr>
      <w:tr>
        <w:trPr>
          <w:cantSplit/>
        </w:trPr>
        <w:tc>
          <w:tcPr>
            <w:tcW w:type="dxa" w:w="2880"/>
            <w:tcMar>
              <w:top w:w="70" w:type="dxa"/>
              <w:start w:w="90" w:type="dxa"/>
              <w:bottom w:w="70" w:type="dxa"/>
              <w:end w:w="90" w:type="dxa"/>
            </w:tcMar>
            <w:vAlign w:val="top"/>
          </w:tcPr>
          <w:p>
            <w:pPr>
              <w:spacing w:after="0"/>
            </w:pPr>
            <w:r/>
            <w:r>
              <w:rPr>
                <w:rFonts w:ascii="Carlito" w:hAnsi="Carlito"/>
                <w:sz w:val="16"/>
              </w:rPr>
              <w:t>Labor productivity growth</w:t>
            </w:r>
          </w:p>
        </w:tc>
        <w:tc>
          <w:tcPr>
            <w:tcW w:type="dxa" w:w="3456"/>
            <w:tcMar>
              <w:top w:w="70" w:type="dxa"/>
              <w:start w:w="90" w:type="dxa"/>
              <w:bottom w:w="70" w:type="dxa"/>
              <w:end w:w="90" w:type="dxa"/>
            </w:tcMar>
            <w:vAlign w:val="top"/>
          </w:tcPr>
          <w:p>
            <w:pPr>
              <w:spacing w:after="0"/>
            </w:pPr>
            <w:r/>
            <w:r>
              <w:rPr>
                <w:rFonts w:ascii="Carlito" w:hAnsi="Carlito"/>
                <w:sz w:val="16"/>
              </w:rPr>
              <w:t>ILOSTAT SDG 8.2.1</w:t>
            </w:r>
          </w:p>
        </w:tc>
        <w:tc>
          <w:tcPr>
            <w:tcW w:type="dxa" w:w="4032"/>
            <w:tcMar>
              <w:top w:w="70" w:type="dxa"/>
              <w:start w:w="90" w:type="dxa"/>
              <w:bottom w:w="70" w:type="dxa"/>
              <w:end w:w="90" w:type="dxa"/>
            </w:tcMar>
            <w:vAlign w:val="top"/>
          </w:tcPr>
          <w:p>
            <w:pPr>
              <w:spacing w:after="0"/>
            </w:pPr>
            <w:r/>
            <w:r>
              <w:rPr>
                <w:rFonts w:ascii="Carlito" w:hAnsi="Carlito"/>
                <w:sz w:val="16"/>
              </w:rPr>
              <w:t>Whether output per worker is improving</w:t>
            </w:r>
          </w:p>
        </w:tc>
      </w:tr>
    </w:tbl>
    <w:p>
      <w:pPr>
        <w:spacing w:after="20"/>
      </w:pPr>
    </w:p>
    <w:p>
      <w:pPr>
        <w:spacing w:after="100" w:before="0" w:line="259" w:lineRule="auto"/>
      </w:pPr>
      <w:r>
        <w:rPr>
          <w:rFonts w:ascii="Carlito" w:hAnsi="Carlito"/>
        </w:rPr>
        <w:t>Total factor productivity is excluded from the core panel because of greater methodological complexity, estimation uncertainty and weaker global comparability.</w:t>
      </w:r>
    </w:p>
    <w:p>
      <w:pPr>
        <w:pStyle w:val="Heading2"/>
        <w:spacing w:after="100" w:before="0" w:line="259" w:lineRule="auto"/>
      </w:pPr>
      <w:r>
        <w:rPr>
          <w:rFonts w:ascii="Carlito" w:hAnsi="Carlito"/>
        </w:rPr>
        <w:t>A8. Growth-Diffusion Test</w:t>
      </w:r>
    </w:p>
    <w:tbl>
      <w:tblPr>
        <w:tblStyle w:val="TableGrid"/>
        <w:tblW w:type="auto" w:w="0"/>
        <w:jc w:val="center"/>
        <w:tblLayout w:type="autofit"/>
        <w:tblLook w:firstColumn="1" w:firstRow="1" w:lastColumn="0" w:lastRow="0" w:noHBand="0" w:noVBand="1" w:val="04A0"/>
      </w:tblPr>
      <w:tblGrid>
        <w:gridCol w:w="3350"/>
        <w:gridCol w:w="3350"/>
        <w:gridCol w:w="3350"/>
      </w:tblGrid>
      <w:tr>
        <w:trPr>
          <w:tblHeader w:val="true"/>
          <w:cantSplit/>
        </w:trPr>
        <w:tc>
          <w:tcPr>
            <w:tcW w:type="dxa" w:w="2736"/>
            <w:shd w:fill="17365D"/>
            <w:tcMar>
              <w:top w:w="70" w:type="dxa"/>
              <w:start w:w="90" w:type="dxa"/>
              <w:bottom w:w="70" w:type="dxa"/>
              <w:end w:w="90" w:type="dxa"/>
            </w:tcMar>
            <w:vAlign w:val="center"/>
          </w:tcPr>
          <w:p>
            <w:pPr>
              <w:spacing w:after="0"/>
            </w:pPr>
            <w:r/>
            <w:r>
              <w:rPr>
                <w:rFonts w:ascii="Carlito" w:hAnsi="Carlito"/>
                <w:b/>
                <w:color w:val="FFFFFF"/>
                <w:sz w:val="16"/>
              </w:rPr>
            </w:r>
          </w:p>
        </w:tc>
        <w:tc>
          <w:tcPr>
            <w:tcW w:type="dxa" w:w="3744"/>
            <w:shd w:fill="17365D"/>
            <w:tcMar>
              <w:top w:w="70" w:type="dxa"/>
              <w:start w:w="90" w:type="dxa"/>
              <w:bottom w:w="70" w:type="dxa"/>
              <w:end w:w="90" w:type="dxa"/>
            </w:tcMar>
            <w:vAlign w:val="center"/>
          </w:tcPr>
          <w:p>
            <w:pPr>
              <w:spacing w:after="0"/>
            </w:pPr>
            <w:r/>
            <w:r>
              <w:rPr>
                <w:rFonts w:ascii="Carlito" w:hAnsi="Carlito"/>
                <w:b/>
                <w:color w:val="FFFFFF"/>
                <w:sz w:val="16"/>
              </w:rPr>
              <w:t>Diffusion improving</w:t>
            </w:r>
          </w:p>
        </w:tc>
        <w:tc>
          <w:tcPr>
            <w:tcW w:type="dxa" w:w="4032"/>
            <w:shd w:fill="17365D"/>
            <w:tcMar>
              <w:top w:w="70" w:type="dxa"/>
              <w:start w:w="90" w:type="dxa"/>
              <w:bottom w:w="70" w:type="dxa"/>
              <w:end w:w="90" w:type="dxa"/>
            </w:tcMar>
            <w:vAlign w:val="center"/>
          </w:tcPr>
          <w:p>
            <w:pPr>
              <w:spacing w:after="0"/>
            </w:pPr>
            <w:r/>
            <w:r>
              <w:rPr>
                <w:rFonts w:ascii="Carlito" w:hAnsi="Carlito"/>
                <w:b/>
                <w:color w:val="FFFFFF"/>
                <w:sz w:val="16"/>
              </w:rPr>
              <w:t>Diffusion weak or worsening</w:t>
            </w:r>
          </w:p>
        </w:tc>
      </w:tr>
      <w:tr>
        <w:trPr>
          <w:cantSplit/>
        </w:trPr>
        <w:tc>
          <w:tcPr>
            <w:tcW w:type="dxa" w:w="2736"/>
            <w:tcMar>
              <w:top w:w="70" w:type="dxa"/>
              <w:start w:w="90" w:type="dxa"/>
              <w:bottom w:w="70" w:type="dxa"/>
              <w:end w:w="90" w:type="dxa"/>
            </w:tcMar>
            <w:vAlign w:val="top"/>
          </w:tcPr>
          <w:p>
            <w:pPr>
              <w:spacing w:after="0"/>
            </w:pPr>
            <w:r/>
            <w:r>
              <w:rPr>
                <w:rFonts w:ascii="Carlito" w:hAnsi="Carlito"/>
                <w:sz w:val="16"/>
              </w:rPr>
              <w:t>Growth/productivity strong</w:t>
            </w:r>
          </w:p>
        </w:tc>
        <w:tc>
          <w:tcPr>
            <w:tcW w:type="dxa" w:w="3744"/>
            <w:tcMar>
              <w:top w:w="70" w:type="dxa"/>
              <w:start w:w="90" w:type="dxa"/>
              <w:bottom w:w="70" w:type="dxa"/>
              <w:end w:w="90" w:type="dxa"/>
            </w:tcMar>
            <w:vAlign w:val="top"/>
          </w:tcPr>
          <w:p>
            <w:pPr>
              <w:spacing w:after="0"/>
            </w:pPr>
            <w:r/>
            <w:r>
              <w:rPr>
                <w:rFonts w:ascii="Carlito" w:hAnsi="Carlito"/>
                <w:sz w:val="16"/>
              </w:rPr>
              <w:t>Broadening prosperity</w:t>
            </w:r>
          </w:p>
        </w:tc>
        <w:tc>
          <w:tcPr>
            <w:tcW w:type="dxa" w:w="4032"/>
            <w:tcMar>
              <w:top w:w="70" w:type="dxa"/>
              <w:start w:w="90" w:type="dxa"/>
              <w:bottom w:w="70" w:type="dxa"/>
              <w:end w:w="90" w:type="dxa"/>
            </w:tcMar>
            <w:vAlign w:val="top"/>
          </w:tcPr>
          <w:p>
            <w:pPr>
              <w:spacing w:after="0"/>
            </w:pPr>
            <w:r/>
            <w:r>
              <w:rPr>
                <w:rFonts w:ascii="Carlito" w:hAnsi="Carlito"/>
                <w:sz w:val="16"/>
              </w:rPr>
              <w:t>Concentrated growth</w:t>
            </w:r>
          </w:p>
        </w:tc>
      </w:tr>
      <w:tr>
        <w:trPr>
          <w:cantSplit/>
        </w:trPr>
        <w:tc>
          <w:tcPr>
            <w:tcW w:type="dxa" w:w="2736"/>
            <w:tcMar>
              <w:top w:w="70" w:type="dxa"/>
              <w:start w:w="90" w:type="dxa"/>
              <w:bottom w:w="70" w:type="dxa"/>
              <w:end w:w="90" w:type="dxa"/>
            </w:tcMar>
            <w:vAlign w:val="top"/>
            <w:shd w:fill="F3F6FA"/>
          </w:tcPr>
          <w:p>
            <w:pPr>
              <w:spacing w:after="0"/>
            </w:pPr>
            <w:r/>
            <w:r>
              <w:rPr>
                <w:rFonts w:ascii="Carlito" w:hAnsi="Carlito"/>
                <w:sz w:val="16"/>
              </w:rPr>
              <w:t>Growth/productivity weak</w:t>
            </w:r>
          </w:p>
        </w:tc>
        <w:tc>
          <w:tcPr>
            <w:tcW w:type="dxa" w:w="3744"/>
            <w:tcMar>
              <w:top w:w="70" w:type="dxa"/>
              <w:start w:w="90" w:type="dxa"/>
              <w:bottom w:w="70" w:type="dxa"/>
              <w:end w:w="90" w:type="dxa"/>
            </w:tcMar>
            <w:vAlign w:val="top"/>
            <w:shd w:fill="F3F6FA"/>
          </w:tcPr>
          <w:p>
            <w:pPr>
              <w:spacing w:after="0"/>
            </w:pPr>
            <w:r/>
            <w:r>
              <w:rPr>
                <w:rFonts w:ascii="Carlito" w:hAnsi="Carlito"/>
                <w:sz w:val="16"/>
              </w:rPr>
              <w:t>Distribution without sufficient productive engine</w:t>
            </w:r>
          </w:p>
        </w:tc>
        <w:tc>
          <w:tcPr>
            <w:tcW w:type="dxa" w:w="4032"/>
            <w:tcMar>
              <w:top w:w="70" w:type="dxa"/>
              <w:start w:w="90" w:type="dxa"/>
              <w:bottom w:w="70" w:type="dxa"/>
              <w:end w:w="90" w:type="dxa"/>
            </w:tcMar>
            <w:vAlign w:val="top"/>
            <w:shd w:fill="F3F6FA"/>
          </w:tcPr>
          <w:p>
            <w:pPr>
              <w:spacing w:after="0"/>
            </w:pPr>
            <w:r/>
            <w:r>
              <w:rPr>
                <w:rFonts w:ascii="Carlito" w:hAnsi="Carlito"/>
                <w:sz w:val="16"/>
              </w:rPr>
              <w:t>Systemic deterioration</w:t>
            </w:r>
          </w:p>
        </w:tc>
      </w:tr>
    </w:tbl>
    <w:p>
      <w:pPr>
        <w:spacing w:after="20"/>
      </w:pPr>
    </w:p>
    <w:p>
      <w:pPr>
        <w:spacing w:after="100" w:before="0" w:line="259" w:lineRule="auto"/>
      </w:pPr>
      <w:r>
        <w:rPr>
          <w:rFonts w:ascii="Carlito" w:hAnsi="Carlito"/>
        </w:rPr>
        <w:t>Strong productivity with weak labor share, household security or inequality is not empowerment. Improving distribution in a stagnant economy may improve resilience but does not by itself represent a sustainable FE trajectory. Weak growth plus weak diffusion provides stronger evidence toward LC.</w:t>
      </w:r>
    </w:p>
    <w:p>
      <w:pPr>
        <w:pStyle w:val="Heading2"/>
        <w:spacing w:after="100" w:before="0" w:line="259" w:lineRule="auto"/>
      </w:pPr>
      <w:r>
        <w:rPr>
          <w:rFonts w:ascii="Carlito" w:hAnsi="Carlito"/>
        </w:rPr>
        <w:t>A9. Energy and grids</w:t>
      </w:r>
    </w:p>
    <w:p>
      <w:pPr>
        <w:spacing w:after="100" w:before="0" w:line="259" w:lineRule="auto"/>
      </w:pPr>
      <w:r>
        <w:rPr>
          <w:rFonts w:ascii="Carlito" w:hAnsi="Carlito"/>
        </w:rPr>
        <w:t>Two Tier-2 families replace the weaker v11.9 mix. E1 measures grid access and constraint, including connection delays, queues, curtailment, load shedding and scarcity events. E2 measures system adequacy and resilience through a fixed sentinel panel of major grid systems. IEA remains the Tier-1 anchor. Nighttime lights are demoted to Tier 3/fallback status.</w:t>
      </w:r>
    </w:p>
    <w:p>
      <w:pPr>
        <w:pStyle w:val="Heading2"/>
        <w:spacing w:after="100" w:before="0" w:line="259" w:lineRule="auto"/>
      </w:pPr>
      <w:r>
        <w:rPr>
          <w:rFonts w:ascii="Carlito" w:hAnsi="Carlito"/>
        </w:rPr>
        <w:t>A10. Health security and workforce</w:t>
      </w:r>
    </w:p>
    <w:p>
      <w:pPr>
        <w:spacing w:after="100" w:before="0" w:line="259" w:lineRule="auto"/>
      </w:pPr>
      <w:r>
        <w:rPr>
          <w:rFonts w:ascii="Carlito" w:hAnsi="Carlito"/>
        </w:rPr>
        <w:t>H1 measures surveillance continuity and coverage using WHO FluNet/GISRS. H2 measures preparedness capacity using WHO SPAR. Influenza positivity and excess mortality remain context or shock indicators but no longer directly establish improvement in system capability.</w:t>
      </w:r>
    </w:p>
    <w:p>
      <w:pPr>
        <w:pStyle w:val="Heading2"/>
        <w:spacing w:after="100" w:before="0" w:line="259" w:lineRule="auto"/>
      </w:pPr>
      <w:r>
        <w:rPr>
          <w:rFonts w:ascii="Carlito" w:hAnsi="Carlito"/>
        </w:rPr>
        <w:t>A11. Education and skills</w:t>
      </w:r>
    </w:p>
    <w:p>
      <w:pPr>
        <w:spacing w:after="100" w:before="0" w:line="259" w:lineRule="auto"/>
      </w:pPr>
      <w:r>
        <w:rPr>
          <w:rFonts w:ascii="Carlito" w:hAnsi="Carlito"/>
        </w:rPr>
        <w:t>ED1 measures educator AI capability and meaningful use through OECD TALIS. School internet moves to Tier 1. DOI and ORCID registrations are removed from Grey Swan probability movement. AI-aware assessment remains conceptually central but stays Tier 3 until a credible repeated global dataset exists.</w:t>
      </w:r>
    </w:p>
    <w:p>
      <w:pPr>
        <w:pStyle w:val="Heading2"/>
        <w:spacing w:after="100" w:before="0" w:line="259" w:lineRule="auto"/>
      </w:pPr>
      <w:r>
        <w:rPr>
          <w:rFonts w:ascii="Carlito" w:hAnsi="Carlito"/>
        </w:rPr>
        <w:t>A12. Trust and information integrity</w:t>
      </w:r>
    </w:p>
    <w:p>
      <w:pPr>
        <w:spacing w:after="100" w:before="0" w:line="259" w:lineRule="auto"/>
      </w:pPr>
      <w:r>
        <w:rPr>
          <w:rFonts w:ascii="Carlito" w:hAnsi="Carlito"/>
        </w:rPr>
        <w:t>T1 measures implemented AI accountability architecture, using the OECD.AI Policy Navigator as a discovery source and verifying material measures against primary legal or regulatory sources. Qualifying evidence may include transparency requirements, pre-deployment assessment, external audit, disclosure obligations and meaningful appeal or contestability. Strategies and declarations alone do not qualify. IODA and comparable internet disruption evidence remain shock indicators; C2PA and content credentials remain Tier-3 candidates until a robust adoption series exists.</w:t>
      </w:r>
    </w:p>
    <w:p>
      <w:pPr>
        <w:pStyle w:val="Heading2"/>
        <w:spacing w:after="100" w:before="0" w:line="259" w:lineRule="auto"/>
      </w:pPr>
      <w:r>
        <w:rPr>
          <w:rFonts w:ascii="Carlito" w:hAnsi="Carlito"/>
        </w:rPr>
        <w:t>A13. Treaty-lite coordination and supply security</w:t>
      </w:r>
    </w:p>
    <w:p>
      <w:pPr>
        <w:spacing w:after="100" w:before="0" w:line="259" w:lineRule="auto"/>
      </w:pPr>
      <w:r>
        <w:rPr>
          <w:rFonts w:ascii="Carlito" w:hAnsi="Carlito"/>
        </w:rPr>
        <w:t>C1 measures network resilience using UNCTAD liner shipping connectivity. C2 measures operational compact evidence. A compact qualifies only when there are identifiable participants, a specific operational scope, implementation or monitoring, and evidence of activation, enforcement, testing or dispute resolution. Container throughput remains supporting context rather than an independent probability-moving family.</w:t>
      </w:r>
    </w:p>
    <w:p>
      <w:pPr>
        <w:pStyle w:val="Heading2"/>
        <w:spacing w:after="100" w:before="0" w:line="259" w:lineRule="auto"/>
      </w:pPr>
      <w:r>
        <w:rPr>
          <w:rFonts w:ascii="Carlito" w:hAnsi="Carlito"/>
        </w:rPr>
        <w:t>A14. Compute and AI access</w:t>
      </w:r>
    </w:p>
    <w:p>
      <w:pPr>
        <w:spacing w:after="100" w:before="0" w:line="259" w:lineRule="auto"/>
      </w:pPr>
      <w:r>
        <w:rPr>
          <w:rFonts w:ascii="Carlito" w:hAnsi="Carlito"/>
        </w:rPr>
        <w:t>CA1 measures concentration of advanced AI compute using Epoch AI chip-ownership and related data-center evidence. Because these are modeled estimates, they are treated as fragile Tier-2 evidence and remain subject to movement caps and corroboration requirements. CA2 measures geographic availability of usable AI compute using OECD public-cloud AI-compute methodology and data. M-Lab latency and download speed are demoted to digital-access context.</w:t>
      </w:r>
    </w:p>
    <w:p>
      <w:pPr>
        <w:pStyle w:val="Heading2"/>
        <w:spacing w:after="100" w:before="0" w:line="259" w:lineRule="auto"/>
      </w:pPr>
      <w:r>
        <w:rPr>
          <w:rFonts w:ascii="Carlito" w:hAnsi="Carlito"/>
        </w:rPr>
        <w:t>A15. Wealth-Diffusion Gate</w:t>
      </w:r>
    </w:p>
    <w:tbl>
      <w:tblPr>
        <w:tblStyle w:val="TableGrid"/>
        <w:tblW w:type="auto" w:w="0"/>
        <w:jc w:val="center"/>
        <w:tblLayout w:type="autofit"/>
        <w:tblLook w:firstColumn="1" w:firstRow="1" w:lastColumn="0" w:lastRow="0" w:noHBand="0" w:noVBand="1" w:val="04A0"/>
      </w:tblPr>
      <w:tblGrid>
        <w:gridCol w:w="5025"/>
        <w:gridCol w:w="5025"/>
      </w:tblGrid>
      <w:tr>
        <w:trPr>
          <w:tblHeader w:val="true"/>
          <w:cantSplit/>
        </w:trPr>
        <w:tc>
          <w:tcPr>
            <w:tcW w:type="dxa" w:w="4464"/>
            <w:shd w:fill="17365D"/>
            <w:tcMar>
              <w:top w:w="70" w:type="dxa"/>
              <w:start w:w="90" w:type="dxa"/>
              <w:bottom w:w="70" w:type="dxa"/>
              <w:end w:w="90" w:type="dxa"/>
            </w:tcMar>
            <w:vAlign w:val="center"/>
          </w:tcPr>
          <w:p>
            <w:pPr>
              <w:spacing w:after="0"/>
            </w:pPr>
            <w:r/>
            <w:r>
              <w:rPr>
                <w:rFonts w:ascii="Carlito" w:hAnsi="Carlito"/>
                <w:b/>
                <w:color w:val="FFFFFF"/>
                <w:sz w:val="17"/>
              </w:rPr>
              <w:t>Dimension</w:t>
            </w:r>
          </w:p>
        </w:tc>
        <w:tc>
          <w:tcPr>
            <w:tcW w:type="dxa" w:w="5616"/>
            <w:shd w:fill="17365D"/>
            <w:tcMar>
              <w:top w:w="70" w:type="dxa"/>
              <w:start w:w="90" w:type="dxa"/>
              <w:bottom w:w="70" w:type="dxa"/>
              <w:end w:w="90" w:type="dxa"/>
            </w:tcMar>
            <w:vAlign w:val="center"/>
          </w:tcPr>
          <w:p>
            <w:pPr>
              <w:spacing w:after="0"/>
            </w:pPr>
            <w:r/>
            <w:r>
              <w:rPr>
                <w:rFonts w:ascii="Carlito" w:hAnsi="Carlito"/>
                <w:b/>
                <w:color w:val="FFFFFF"/>
                <w:sz w:val="17"/>
              </w:rPr>
              <w:t>Primary evidence</w:t>
            </w:r>
          </w:p>
        </w:tc>
      </w:tr>
      <w:tr>
        <w:trPr>
          <w:cantSplit/>
        </w:trPr>
        <w:tc>
          <w:tcPr>
            <w:tcW w:type="dxa" w:w="4464"/>
            <w:tcMar>
              <w:top w:w="70" w:type="dxa"/>
              <w:start w:w="90" w:type="dxa"/>
              <w:bottom w:w="70" w:type="dxa"/>
              <w:end w:w="90" w:type="dxa"/>
            </w:tcMar>
            <w:vAlign w:val="top"/>
          </w:tcPr>
          <w:p>
            <w:pPr>
              <w:spacing w:after="0"/>
            </w:pPr>
            <w:r/>
            <w:r>
              <w:rPr>
                <w:rFonts w:ascii="Carlito" w:hAnsi="Carlito"/>
                <w:sz w:val="17"/>
              </w:rPr>
              <w:t>Household financial security</w:t>
            </w:r>
          </w:p>
        </w:tc>
        <w:tc>
          <w:tcPr>
            <w:tcW w:type="dxa" w:w="5616"/>
            <w:tcMar>
              <w:top w:w="70" w:type="dxa"/>
              <w:start w:w="90" w:type="dxa"/>
              <w:bottom w:w="70" w:type="dxa"/>
              <w:end w:w="90" w:type="dxa"/>
            </w:tcMar>
            <w:vAlign w:val="top"/>
          </w:tcPr>
          <w:p>
            <w:pPr>
              <w:spacing w:after="0"/>
            </w:pPr>
            <w:r/>
            <w:r>
              <w:rPr>
                <w:rFonts w:ascii="Carlito" w:hAnsi="Carlito"/>
                <w:sz w:val="17"/>
              </w:rPr>
              <w:t>World Bank Global Findex</w:t>
            </w:r>
          </w:p>
        </w:tc>
      </w:tr>
      <w:tr>
        <w:trPr>
          <w:cantSplit/>
        </w:trPr>
        <w:tc>
          <w:tcPr>
            <w:tcW w:type="dxa" w:w="4464"/>
            <w:tcMar>
              <w:top w:w="70" w:type="dxa"/>
              <w:start w:w="90" w:type="dxa"/>
              <w:bottom w:w="70" w:type="dxa"/>
              <w:end w:w="90" w:type="dxa"/>
            </w:tcMar>
            <w:vAlign w:val="top"/>
            <w:shd w:fill="F3F6FA"/>
          </w:tcPr>
          <w:p>
            <w:pPr>
              <w:spacing w:after="0"/>
            </w:pPr>
            <w:r/>
            <w:r>
              <w:rPr>
                <w:rFonts w:ascii="Carlito" w:hAnsi="Carlito"/>
                <w:sz w:val="17"/>
              </w:rPr>
              <w:t>Labor participation in gains</w:t>
            </w:r>
          </w:p>
        </w:tc>
        <w:tc>
          <w:tcPr>
            <w:tcW w:type="dxa" w:w="5616"/>
            <w:tcMar>
              <w:top w:w="70" w:type="dxa"/>
              <w:start w:w="90" w:type="dxa"/>
              <w:bottom w:w="70" w:type="dxa"/>
              <w:end w:w="90" w:type="dxa"/>
            </w:tcMar>
            <w:vAlign w:val="top"/>
            <w:shd w:fill="F3F6FA"/>
          </w:tcPr>
          <w:p>
            <w:pPr>
              <w:spacing w:after="0"/>
            </w:pPr>
            <w:r/>
            <w:r>
              <w:rPr>
                <w:rFonts w:ascii="Carlito" w:hAnsi="Carlito"/>
                <w:sz w:val="17"/>
              </w:rPr>
              <w:t>ILOSTAT labor income share</w:t>
            </w:r>
          </w:p>
        </w:tc>
      </w:tr>
      <w:tr>
        <w:trPr>
          <w:cantSplit/>
        </w:trPr>
        <w:tc>
          <w:tcPr>
            <w:tcW w:type="dxa" w:w="4464"/>
            <w:tcMar>
              <w:top w:w="70" w:type="dxa"/>
              <w:start w:w="90" w:type="dxa"/>
              <w:bottom w:w="70" w:type="dxa"/>
              <w:end w:w="90" w:type="dxa"/>
            </w:tcMar>
            <w:vAlign w:val="top"/>
          </w:tcPr>
          <w:p>
            <w:pPr>
              <w:spacing w:after="0"/>
            </w:pPr>
            <w:r/>
            <w:r>
              <w:rPr>
                <w:rFonts w:ascii="Carlito" w:hAnsi="Carlito"/>
                <w:sz w:val="17"/>
              </w:rPr>
              <w:t>Distribution/shared prosperity</w:t>
            </w:r>
          </w:p>
        </w:tc>
        <w:tc>
          <w:tcPr>
            <w:tcW w:type="dxa" w:w="5616"/>
            <w:tcMar>
              <w:top w:w="70" w:type="dxa"/>
              <w:start w:w="90" w:type="dxa"/>
              <w:bottom w:w="70" w:type="dxa"/>
              <w:end w:w="90" w:type="dxa"/>
            </w:tcMar>
            <w:vAlign w:val="top"/>
          </w:tcPr>
          <w:p>
            <w:pPr>
              <w:spacing w:after="0"/>
            </w:pPr>
            <w:r/>
            <w:r>
              <w:rPr>
                <w:rFonts w:ascii="Carlito" w:hAnsi="Carlito"/>
                <w:sz w:val="17"/>
              </w:rPr>
              <w:t>World Bank inequality and shared-prosperity indicators</w:t>
            </w:r>
          </w:p>
        </w:tc>
      </w:tr>
    </w:tbl>
    <w:p>
      <w:pPr>
        <w:spacing w:after="20"/>
      </w:pPr>
    </w:p>
    <w:p>
      <w:pPr>
        <w:spacing w:after="100" w:before="0" w:line="259" w:lineRule="auto"/>
      </w:pPr>
      <w:r>
        <w:rPr>
          <w:rFonts w:ascii="Carlito" w:hAnsi="Carlito"/>
        </w:rPr>
        <w:t>Profit sharing, employee ownership, micro-equity and social wealth mechanisms remain normatively relevant but move to Tier 3 because no satisfactory global repeated series exists. The proposed gate logic requires that none of the three dimensions is materially deteriorating and that at least two demonstrate persistent improvement. No material promotion toward Full Empowerment is permitted while the Gate is closed.</w:t>
      </w:r>
    </w:p>
    <w:p>
      <w:pPr>
        <w:pStyle w:val="Heading2"/>
        <w:spacing w:after="100" w:before="0" w:line="259" w:lineRule="auto"/>
      </w:pPr>
      <w:r>
        <w:rPr>
          <w:rFonts w:ascii="Carlito" w:hAnsi="Carlito"/>
        </w:rPr>
        <w:t>A16. Participation Stress Flag</w:t>
      </w:r>
    </w:p>
    <w:p>
      <w:pPr>
        <w:spacing w:after="100" w:before="0" w:line="259" w:lineRule="auto"/>
      </w:pPr>
      <w:r>
        <w:rPr>
          <w:rFonts w:ascii="Carlito" w:hAnsi="Carlito"/>
        </w:rPr>
        <w:t>Labor remains cross-cutting rather than becoming a seventh lever. P1 measures access to work using ILOSTAT employment-to-population measures, including age-specific data where comparable. P2 measures participation in economic gains using labor income share. The flag activates only when deterioration is persistent and corroborated across both families. It does not require causal proof that AI caused the deterioration.</w:t>
      </w:r>
    </w:p>
    <w:p>
      <w:pPr>
        <w:pStyle w:val="Heading2"/>
        <w:spacing w:after="100" w:before="0" w:line="259" w:lineRule="auto"/>
      </w:pPr>
      <w:r>
        <w:rPr>
          <w:rFonts w:ascii="Carlito" w:hAnsi="Carlito"/>
        </w:rPr>
        <w:t>A17. Economic Stress Flag</w:t>
      </w:r>
    </w:p>
    <w:p>
      <w:pPr>
        <w:spacing w:after="100" w:before="0" w:line="259" w:lineRule="auto"/>
      </w:pPr>
      <w:r>
        <w:rPr>
          <w:rFonts w:ascii="Carlito" w:hAnsi="Carlito"/>
        </w:rPr>
        <w:t>The Economic Stress Flag is retained but simplified around two primary families: the OECD Composite Leading Indicator and IMF World Economic Outlook revisions. ILO employment measures move principally to Participation Stress, reducing double counting.</w:t>
      </w:r>
    </w:p>
    <w:p>
      <w:pPr>
        <w:pStyle w:val="Heading2"/>
        <w:spacing w:after="100" w:before="0" w:line="259" w:lineRule="auto"/>
      </w:pPr>
      <w:r>
        <w:rPr>
          <w:rFonts w:ascii="Carlito" w:hAnsi="Carlito"/>
        </w:rPr>
        <w:t>A18. Cross-cutting flags</w:t>
      </w:r>
    </w:p>
    <w:p>
      <w:pPr>
        <w:spacing w:after="100" w:before="0" w:line="259" w:lineRule="auto"/>
      </w:pPr>
      <w:r>
        <w:rPr>
          <w:rFonts w:ascii="Carlito" w:hAnsi="Carlito"/>
        </w:rPr>
        <w:t>v12 contains four formal diagnostic flags: Geopolitical Shock, Health Surveillance, Economic Stress and Participation Stress. Climate remains a cross-cutting structural constraint rather than a separate trigger flag.</w:t>
      </w:r>
    </w:p>
    <w:p>
      <w:pPr>
        <w:pStyle w:val="Heading2"/>
        <w:spacing w:after="100" w:before="0" w:line="259" w:lineRule="auto"/>
      </w:pPr>
      <w:r>
        <w:rPr>
          <w:rFonts w:ascii="Carlito" w:hAnsi="Carlito"/>
        </w:rPr>
        <w:t>A19. State capacity</w:t>
      </w:r>
    </w:p>
    <w:p>
      <w:pPr>
        <w:spacing w:after="100" w:before="0" w:line="259" w:lineRule="auto"/>
      </w:pPr>
      <w:r>
        <w:rPr>
          <w:rFonts w:ascii="Carlito" w:hAnsi="Carlito"/>
        </w:rPr>
        <w:t>State capacity remains explicit but does not become a seventh lever. It is represented primarily through Tier-1 institutional evidence, especially Government Effectiveness. This avoids double counting a weakness that already appears through delivery across the six levers.</w:t>
      </w:r>
    </w:p>
    <w:p>
      <w:pPr>
        <w:pStyle w:val="Heading2"/>
        <w:spacing w:after="100" w:before="0" w:line="259" w:lineRule="auto"/>
      </w:pPr>
      <w:r>
        <w:rPr>
          <w:rFonts w:ascii="Carlito" w:hAnsi="Carlito"/>
        </w:rPr>
        <w:t>A20. Posture Likelihood layer</w:t>
      </w:r>
    </w:p>
    <w:p>
      <w:pPr>
        <w:spacing w:after="100" w:before="0" w:line="259" w:lineRule="auto"/>
      </w:pPr>
      <w:r>
        <w:rPr>
          <w:rFonts w:ascii="Carlito" w:hAnsi="Carlito"/>
        </w:rPr>
        <w:t>The existing conditional architecture P(O|DTR) and P(O|LIR) is retained. v12 adds P(DTR) and P(LIR)=1-P(DTR), allowing calculation of a blended outlook: P(O)=P(DTR)P(O|DTR)+P(LIR)P(O|LIR). The model can therefore report conditional DTR outcomes, conditional LIR outcomes and current blended real-world probabilities.</w:t>
      </w:r>
    </w:p>
    <w:p>
      <w:pPr>
        <w:pStyle w:val="Heading2"/>
        <w:spacing w:after="100" w:before="0" w:line="259" w:lineRule="auto"/>
      </w:pPr>
      <w:r>
        <w:rPr>
          <w:rFonts w:ascii="Carlito" w:hAnsi="Carlito"/>
        </w:rPr>
        <w:t>A21. Assessing Posture Likelihood</w:t>
      </w:r>
    </w:p>
    <w:p>
      <w:pPr>
        <w:spacing w:after="100" w:before="0" w:line="259" w:lineRule="auto"/>
      </w:pPr>
      <w:r>
        <w:rPr>
          <w:rFonts w:ascii="Carlito" w:hAnsi="Carlito"/>
        </w:rPr>
        <w:t>v12 does not create a large policy index. The posture assessment reuses evidence collected through the existing architecture. Only implemented action counts. Speeches, strategies without execution, announcements without delivery, voluntary commitments without monitoring and isolated pilots do not qualify. Evidence for DTR requires persistent implemented movement toward resilience, broad capability, accountability, coordination, access and diffusion of gains. Evidence for LIR includes acceleration without corresponding governance, concentration, weak diffusion, fragmented policy and piecemeal response.</w:t>
      </w:r>
    </w:p>
    <w:p>
      <w:pPr>
        <w:spacing w:after="100" w:before="0" w:line="259" w:lineRule="auto"/>
      </w:pPr>
      <w:r>
        <w:rPr>
          <w:rFonts w:ascii="Carlito" w:hAnsi="Carlito"/>
        </w:rPr>
        <w:t>Because v11.9 had no formal posture probability, R1 establishes a one-time baseline through explicit documented judgment rather than mechanical conversion of ordinal scores. Subsequent posture movement is capped at plus or minus five percentage points per six-month run and requires support from at least two independent lever families, persistence, global significance and symmetric reversion.</w:t>
      </w:r>
    </w:p>
    <w:p>
      <w:pPr>
        <w:pStyle w:val="Heading2"/>
        <w:spacing w:after="100" w:before="0" w:line="259" w:lineRule="auto"/>
      </w:pPr>
      <w:r>
        <w:rPr>
          <w:rFonts w:ascii="Carlito" w:hAnsi="Carlito"/>
        </w:rPr>
        <w:t>A22. Indicator transition summary</w:t>
      </w:r>
    </w:p>
    <w:tbl>
      <w:tblPr>
        <w:tblStyle w:val="TableGrid"/>
        <w:tblW w:type="auto" w:w="0"/>
        <w:jc w:val="center"/>
        <w:tblLayout w:type="autofit"/>
        <w:tblLook w:firstColumn="1" w:firstRow="1" w:lastColumn="0" w:lastRow="0" w:noHBand="0" w:noVBand="1" w:val="04A0"/>
      </w:tblPr>
      <w:tblGrid>
        <w:gridCol w:w="5025"/>
        <w:gridCol w:w="5025"/>
      </w:tblGrid>
      <w:tr>
        <w:trPr>
          <w:tblHeader w:val="true"/>
          <w:cantSplit/>
        </w:trPr>
        <w:tc>
          <w:tcPr>
            <w:tcW w:type="dxa" w:w="4752"/>
            <w:shd w:fill="17365D"/>
            <w:tcMar>
              <w:top w:w="70" w:type="dxa"/>
              <w:start w:w="90" w:type="dxa"/>
              <w:bottom w:w="70" w:type="dxa"/>
              <w:end w:w="90" w:type="dxa"/>
            </w:tcMar>
            <w:vAlign w:val="center"/>
          </w:tcPr>
          <w:p>
            <w:pPr>
              <w:spacing w:after="0"/>
            </w:pPr>
            <w:r/>
            <w:r>
              <w:rPr>
                <w:rFonts w:ascii="Carlito" w:hAnsi="Carlito"/>
                <w:b/>
                <w:color w:val="FFFFFF"/>
                <w:sz w:val="15"/>
              </w:rPr>
              <w:t>v11.9 signal</w:t>
            </w:r>
          </w:p>
        </w:tc>
        <w:tc>
          <w:tcPr>
            <w:tcW w:type="dxa" w:w="5328"/>
            <w:shd w:fill="17365D"/>
            <w:tcMar>
              <w:top w:w="70" w:type="dxa"/>
              <w:start w:w="90" w:type="dxa"/>
              <w:bottom w:w="70" w:type="dxa"/>
              <w:end w:w="90" w:type="dxa"/>
            </w:tcMar>
            <w:vAlign w:val="center"/>
          </w:tcPr>
          <w:p>
            <w:pPr>
              <w:spacing w:after="0"/>
            </w:pPr>
            <w:r/>
            <w:r>
              <w:rPr>
                <w:rFonts w:ascii="Carlito" w:hAnsi="Carlito"/>
                <w:b/>
                <w:color w:val="FFFFFF"/>
                <w:sz w:val="15"/>
              </w:rPr>
              <w:t>v12 treatment</w:t>
            </w:r>
          </w:p>
        </w:tc>
      </w:tr>
      <w:tr>
        <w:trPr>
          <w:cantSplit/>
        </w:trPr>
        <w:tc>
          <w:tcPr>
            <w:tcW w:type="dxa" w:w="4752"/>
            <w:tcMar>
              <w:top w:w="70" w:type="dxa"/>
              <w:start w:w="90" w:type="dxa"/>
              <w:bottom w:w="70" w:type="dxa"/>
              <w:end w:w="90" w:type="dxa"/>
            </w:tcMar>
            <w:vAlign w:val="top"/>
          </w:tcPr>
          <w:p>
            <w:pPr>
              <w:spacing w:after="0"/>
            </w:pPr>
            <w:r/>
            <w:r>
              <w:rPr>
                <w:rFonts w:ascii="Carlito" w:hAnsi="Carlito"/>
                <w:sz w:val="15"/>
              </w:rPr>
              <w:t>Nighttime-light anomaly</w:t>
            </w:r>
          </w:p>
        </w:tc>
        <w:tc>
          <w:tcPr>
            <w:tcW w:type="dxa" w:w="5328"/>
            <w:tcMar>
              <w:top w:w="70" w:type="dxa"/>
              <w:start w:w="90" w:type="dxa"/>
              <w:bottom w:w="70" w:type="dxa"/>
              <w:end w:w="90" w:type="dxa"/>
            </w:tcMar>
            <w:vAlign w:val="top"/>
          </w:tcPr>
          <w:p>
            <w:pPr>
              <w:spacing w:after="0"/>
            </w:pPr>
            <w:r/>
            <w:r>
              <w:rPr>
                <w:rFonts w:ascii="Carlito" w:hAnsi="Carlito"/>
                <w:sz w:val="15"/>
              </w:rPr>
              <w:t>Demote</w:t>
            </w:r>
          </w:p>
        </w:tc>
      </w:tr>
      <w:tr>
        <w:trPr>
          <w:cantSplit/>
        </w:trPr>
        <w:tc>
          <w:tcPr>
            <w:tcW w:type="dxa" w:w="4752"/>
            <w:tcMar>
              <w:top w:w="70" w:type="dxa"/>
              <w:start w:w="90" w:type="dxa"/>
              <w:bottom w:w="70" w:type="dxa"/>
              <w:end w:w="90" w:type="dxa"/>
            </w:tcMar>
            <w:vAlign w:val="top"/>
            <w:shd w:fill="F3F6FA"/>
          </w:tcPr>
          <w:p>
            <w:pPr>
              <w:spacing w:after="0"/>
            </w:pPr>
            <w:r/>
            <w:r>
              <w:rPr>
                <w:rFonts w:ascii="Carlito" w:hAnsi="Carlito"/>
                <w:sz w:val="15"/>
              </w:rPr>
              <w:t>Operator grid stress</w:t>
            </w:r>
          </w:p>
        </w:tc>
        <w:tc>
          <w:tcPr>
            <w:tcW w:type="dxa" w:w="5328"/>
            <w:tcMar>
              <w:top w:w="70" w:type="dxa"/>
              <w:start w:w="90" w:type="dxa"/>
              <w:bottom w:w="70" w:type="dxa"/>
              <w:end w:w="90" w:type="dxa"/>
            </w:tcMar>
            <w:vAlign w:val="top"/>
            <w:shd w:fill="F3F6FA"/>
          </w:tcPr>
          <w:p>
            <w:pPr>
              <w:spacing w:after="0"/>
            </w:pPr>
            <w:r/>
            <w:r>
              <w:rPr>
                <w:rFonts w:ascii="Carlito" w:hAnsi="Carlito"/>
                <w:sz w:val="15"/>
              </w:rPr>
              <w:t>Retain / strengthen</w:t>
            </w:r>
          </w:p>
        </w:tc>
      </w:tr>
      <w:tr>
        <w:trPr>
          <w:cantSplit/>
        </w:trPr>
        <w:tc>
          <w:tcPr>
            <w:tcW w:type="dxa" w:w="4752"/>
            <w:tcMar>
              <w:top w:w="70" w:type="dxa"/>
              <w:start w:w="90" w:type="dxa"/>
              <w:bottom w:w="70" w:type="dxa"/>
              <w:end w:w="90" w:type="dxa"/>
            </w:tcMar>
            <w:vAlign w:val="top"/>
          </w:tcPr>
          <w:p>
            <w:pPr>
              <w:spacing w:after="0"/>
            </w:pPr>
            <w:r/>
            <w:r>
              <w:rPr>
                <w:rFonts w:ascii="Carlito" w:hAnsi="Carlito"/>
                <w:sz w:val="15"/>
              </w:rPr>
              <w:t>Influenza positivity</w:t>
            </w:r>
          </w:p>
        </w:tc>
        <w:tc>
          <w:tcPr>
            <w:tcW w:type="dxa" w:w="5328"/>
            <w:tcMar>
              <w:top w:w="70" w:type="dxa"/>
              <w:start w:w="90" w:type="dxa"/>
              <w:bottom w:w="70" w:type="dxa"/>
              <w:end w:w="90" w:type="dxa"/>
            </w:tcMar>
            <w:vAlign w:val="top"/>
          </w:tcPr>
          <w:p>
            <w:pPr>
              <w:spacing w:after="0"/>
            </w:pPr>
            <w:r/>
            <w:r>
              <w:rPr>
                <w:rFonts w:ascii="Carlito" w:hAnsi="Carlito"/>
                <w:sz w:val="15"/>
              </w:rPr>
              <w:t>Context</w:t>
            </w:r>
          </w:p>
        </w:tc>
      </w:tr>
      <w:tr>
        <w:trPr>
          <w:cantSplit/>
        </w:trPr>
        <w:tc>
          <w:tcPr>
            <w:tcW w:type="dxa" w:w="4752"/>
            <w:tcMar>
              <w:top w:w="70" w:type="dxa"/>
              <w:start w:w="90" w:type="dxa"/>
              <w:bottom w:w="70" w:type="dxa"/>
              <w:end w:w="90" w:type="dxa"/>
            </w:tcMar>
            <w:vAlign w:val="top"/>
            <w:shd w:fill="F3F6FA"/>
          </w:tcPr>
          <w:p>
            <w:pPr>
              <w:spacing w:after="0"/>
            </w:pPr>
            <w:r/>
            <w:r>
              <w:rPr>
                <w:rFonts w:ascii="Carlito" w:hAnsi="Carlito"/>
                <w:sz w:val="15"/>
              </w:rPr>
              <w:t>EuroMOMO mortality</w:t>
            </w:r>
          </w:p>
        </w:tc>
        <w:tc>
          <w:tcPr>
            <w:tcW w:type="dxa" w:w="5328"/>
            <w:tcMar>
              <w:top w:w="70" w:type="dxa"/>
              <w:start w:w="90" w:type="dxa"/>
              <w:bottom w:w="70" w:type="dxa"/>
              <w:end w:w="90" w:type="dxa"/>
            </w:tcMar>
            <w:vAlign w:val="top"/>
            <w:shd w:fill="F3F6FA"/>
          </w:tcPr>
          <w:p>
            <w:pPr>
              <w:spacing w:after="0"/>
            </w:pPr>
            <w:r/>
            <w:r>
              <w:rPr>
                <w:rFonts w:ascii="Carlito" w:hAnsi="Carlito"/>
                <w:sz w:val="15"/>
              </w:rPr>
              <w:t>Context / shock</w:t>
            </w:r>
          </w:p>
        </w:tc>
      </w:tr>
      <w:tr>
        <w:trPr>
          <w:cantSplit/>
        </w:trPr>
        <w:tc>
          <w:tcPr>
            <w:tcW w:type="dxa" w:w="4752"/>
            <w:tcMar>
              <w:top w:w="70" w:type="dxa"/>
              <w:start w:w="90" w:type="dxa"/>
              <w:bottom w:w="70" w:type="dxa"/>
              <w:end w:w="90" w:type="dxa"/>
            </w:tcMar>
            <w:vAlign w:val="top"/>
          </w:tcPr>
          <w:p>
            <w:pPr>
              <w:spacing w:after="0"/>
            </w:pPr>
            <w:r/>
            <w:r>
              <w:rPr>
                <w:rFonts w:ascii="Carlito" w:hAnsi="Carlito"/>
                <w:sz w:val="15"/>
              </w:rPr>
              <w:t>FluNet reporting</w:t>
            </w:r>
          </w:p>
        </w:tc>
        <w:tc>
          <w:tcPr>
            <w:tcW w:type="dxa" w:w="5328"/>
            <w:tcMar>
              <w:top w:w="70" w:type="dxa"/>
              <w:start w:w="90" w:type="dxa"/>
              <w:bottom w:w="70" w:type="dxa"/>
              <w:end w:w="90" w:type="dxa"/>
            </w:tcMar>
            <w:vAlign w:val="top"/>
          </w:tcPr>
          <w:p>
            <w:pPr>
              <w:spacing w:after="0"/>
            </w:pPr>
            <w:r/>
            <w:r>
              <w:rPr>
                <w:rFonts w:ascii="Carlito" w:hAnsi="Carlito"/>
                <w:sz w:val="15"/>
              </w:rPr>
              <w:t>Retain / refocus</w:t>
            </w:r>
          </w:p>
        </w:tc>
      </w:tr>
      <w:tr>
        <w:trPr>
          <w:cantSplit/>
        </w:trPr>
        <w:tc>
          <w:tcPr>
            <w:tcW w:type="dxa" w:w="4752"/>
            <w:tcMar>
              <w:top w:w="70" w:type="dxa"/>
              <w:start w:w="90" w:type="dxa"/>
              <w:bottom w:w="70" w:type="dxa"/>
              <w:end w:w="90" w:type="dxa"/>
            </w:tcMar>
            <w:vAlign w:val="top"/>
            <w:shd w:fill="F3F6FA"/>
          </w:tcPr>
          <w:p>
            <w:pPr>
              <w:spacing w:after="0"/>
            </w:pPr>
            <w:r/>
            <w:r>
              <w:rPr>
                <w:rFonts w:ascii="Carlito" w:hAnsi="Carlito"/>
                <w:sz w:val="15"/>
              </w:rPr>
              <w:t>WHO SPAR</w:t>
            </w:r>
          </w:p>
        </w:tc>
        <w:tc>
          <w:tcPr>
            <w:tcW w:type="dxa" w:w="5328"/>
            <w:tcMar>
              <w:top w:w="70" w:type="dxa"/>
              <w:start w:w="90" w:type="dxa"/>
              <w:bottom w:w="70" w:type="dxa"/>
              <w:end w:w="90" w:type="dxa"/>
            </w:tcMar>
            <w:vAlign w:val="top"/>
            <w:shd w:fill="F3F6FA"/>
          </w:tcPr>
          <w:p>
            <w:pPr>
              <w:spacing w:after="0"/>
            </w:pPr>
            <w:r/>
            <w:r>
              <w:rPr>
                <w:rFonts w:ascii="Carlito" w:hAnsi="Carlito"/>
                <w:sz w:val="15"/>
              </w:rPr>
              <w:t>Add</w:t>
            </w:r>
          </w:p>
        </w:tc>
      </w:tr>
      <w:tr>
        <w:trPr>
          <w:cantSplit/>
        </w:trPr>
        <w:tc>
          <w:tcPr>
            <w:tcW w:type="dxa" w:w="4752"/>
            <w:tcMar>
              <w:top w:w="70" w:type="dxa"/>
              <w:start w:w="90" w:type="dxa"/>
              <w:bottom w:w="70" w:type="dxa"/>
              <w:end w:w="90" w:type="dxa"/>
            </w:tcMar>
            <w:vAlign w:val="top"/>
          </w:tcPr>
          <w:p>
            <w:pPr>
              <w:spacing w:after="0"/>
            </w:pPr>
            <w:r/>
            <w:r>
              <w:rPr>
                <w:rFonts w:ascii="Carlito" w:hAnsi="Carlito"/>
                <w:sz w:val="15"/>
              </w:rPr>
              <w:t>School internet</w:t>
            </w:r>
          </w:p>
        </w:tc>
        <w:tc>
          <w:tcPr>
            <w:tcW w:type="dxa" w:w="5328"/>
            <w:tcMar>
              <w:top w:w="70" w:type="dxa"/>
              <w:start w:w="90" w:type="dxa"/>
              <w:bottom w:w="70" w:type="dxa"/>
              <w:end w:w="90" w:type="dxa"/>
            </w:tcMar>
            <w:vAlign w:val="top"/>
          </w:tcPr>
          <w:p>
            <w:pPr>
              <w:spacing w:after="0"/>
            </w:pPr>
            <w:r/>
            <w:r>
              <w:rPr>
                <w:rFonts w:ascii="Carlito" w:hAnsi="Carlito"/>
                <w:sz w:val="15"/>
              </w:rPr>
              <w:t>Move Tier 1</w:t>
            </w:r>
          </w:p>
        </w:tc>
      </w:tr>
      <w:tr>
        <w:trPr>
          <w:cantSplit/>
        </w:trPr>
        <w:tc>
          <w:tcPr>
            <w:tcW w:type="dxa" w:w="4752"/>
            <w:tcMar>
              <w:top w:w="70" w:type="dxa"/>
              <w:start w:w="90" w:type="dxa"/>
              <w:bottom w:w="70" w:type="dxa"/>
              <w:end w:w="90" w:type="dxa"/>
            </w:tcMar>
            <w:vAlign w:val="top"/>
            <w:shd w:fill="F3F6FA"/>
          </w:tcPr>
          <w:p>
            <w:pPr>
              <w:spacing w:after="0"/>
            </w:pPr>
            <w:r/>
            <w:r>
              <w:rPr>
                <w:rFonts w:ascii="Carlito" w:hAnsi="Carlito"/>
                <w:sz w:val="15"/>
              </w:rPr>
              <w:t>TALIS AI use</w:t>
            </w:r>
          </w:p>
        </w:tc>
        <w:tc>
          <w:tcPr>
            <w:tcW w:type="dxa" w:w="5328"/>
            <w:tcMar>
              <w:top w:w="70" w:type="dxa"/>
              <w:start w:w="90" w:type="dxa"/>
              <w:bottom w:w="70" w:type="dxa"/>
              <w:end w:w="90" w:type="dxa"/>
            </w:tcMar>
            <w:vAlign w:val="top"/>
            <w:shd w:fill="F3F6FA"/>
          </w:tcPr>
          <w:p>
            <w:pPr>
              <w:spacing w:after="0"/>
            </w:pPr>
            <w:r/>
            <w:r>
              <w:rPr>
                <w:rFonts w:ascii="Carlito" w:hAnsi="Carlito"/>
                <w:sz w:val="15"/>
              </w:rPr>
              <w:t>Retain</w:t>
            </w:r>
          </w:p>
        </w:tc>
      </w:tr>
      <w:tr>
        <w:trPr>
          <w:cantSplit/>
        </w:trPr>
        <w:tc>
          <w:tcPr>
            <w:tcW w:type="dxa" w:w="4752"/>
            <w:tcMar>
              <w:top w:w="70" w:type="dxa"/>
              <w:start w:w="90" w:type="dxa"/>
              <w:bottom w:w="70" w:type="dxa"/>
              <w:end w:w="90" w:type="dxa"/>
            </w:tcMar>
            <w:vAlign w:val="top"/>
          </w:tcPr>
          <w:p>
            <w:pPr>
              <w:spacing w:after="0"/>
            </w:pPr>
            <w:r/>
            <w:r>
              <w:rPr>
                <w:rFonts w:ascii="Carlito" w:hAnsi="Carlito"/>
                <w:sz w:val="15"/>
              </w:rPr>
              <w:t>DOI registrations</w:t>
            </w:r>
          </w:p>
        </w:tc>
        <w:tc>
          <w:tcPr>
            <w:tcW w:type="dxa" w:w="5328"/>
            <w:tcMar>
              <w:top w:w="70" w:type="dxa"/>
              <w:start w:w="90" w:type="dxa"/>
              <w:bottom w:w="70" w:type="dxa"/>
              <w:end w:w="90" w:type="dxa"/>
            </w:tcMar>
            <w:vAlign w:val="top"/>
          </w:tcPr>
          <w:p>
            <w:pPr>
              <w:spacing w:after="0"/>
            </w:pPr>
            <w:r/>
            <w:r>
              <w:rPr>
                <w:rFonts w:ascii="Carlito" w:hAnsi="Carlito"/>
                <w:sz w:val="15"/>
              </w:rPr>
              <w:t>Remove</w:t>
            </w:r>
          </w:p>
        </w:tc>
      </w:tr>
      <w:tr>
        <w:trPr>
          <w:cantSplit/>
        </w:trPr>
        <w:tc>
          <w:tcPr>
            <w:tcW w:type="dxa" w:w="4752"/>
            <w:tcMar>
              <w:top w:w="70" w:type="dxa"/>
              <w:start w:w="90" w:type="dxa"/>
              <w:bottom w:w="70" w:type="dxa"/>
              <w:end w:w="90" w:type="dxa"/>
            </w:tcMar>
            <w:vAlign w:val="top"/>
            <w:shd w:fill="F3F6FA"/>
          </w:tcPr>
          <w:p>
            <w:pPr>
              <w:spacing w:after="0"/>
            </w:pPr>
            <w:r/>
            <w:r>
              <w:rPr>
                <w:rFonts w:ascii="Carlito" w:hAnsi="Carlito"/>
                <w:sz w:val="15"/>
              </w:rPr>
              <w:t>ORCID registrations</w:t>
            </w:r>
          </w:p>
        </w:tc>
        <w:tc>
          <w:tcPr>
            <w:tcW w:type="dxa" w:w="5328"/>
            <w:tcMar>
              <w:top w:w="70" w:type="dxa"/>
              <w:start w:w="90" w:type="dxa"/>
              <w:bottom w:w="70" w:type="dxa"/>
              <w:end w:w="90" w:type="dxa"/>
            </w:tcMar>
            <w:vAlign w:val="top"/>
            <w:shd w:fill="F3F6FA"/>
          </w:tcPr>
          <w:p>
            <w:pPr>
              <w:spacing w:after="0"/>
            </w:pPr>
            <w:r/>
            <w:r>
              <w:rPr>
                <w:rFonts w:ascii="Carlito" w:hAnsi="Carlito"/>
                <w:sz w:val="15"/>
              </w:rPr>
              <w:t>Remove</w:t>
            </w:r>
          </w:p>
        </w:tc>
      </w:tr>
      <w:tr>
        <w:trPr>
          <w:cantSplit/>
        </w:trPr>
        <w:tc>
          <w:tcPr>
            <w:tcW w:type="dxa" w:w="4752"/>
            <w:tcMar>
              <w:top w:w="70" w:type="dxa"/>
              <w:start w:w="90" w:type="dxa"/>
              <w:bottom w:w="70" w:type="dxa"/>
              <w:end w:w="90" w:type="dxa"/>
            </w:tcMar>
            <w:vAlign w:val="top"/>
          </w:tcPr>
          <w:p>
            <w:pPr>
              <w:spacing w:after="0"/>
            </w:pPr>
            <w:r/>
            <w:r>
              <w:rPr>
                <w:rFonts w:ascii="Carlito" w:hAnsi="Carlito"/>
                <w:sz w:val="15"/>
              </w:rPr>
              <w:t>IODA outages</w:t>
            </w:r>
          </w:p>
        </w:tc>
        <w:tc>
          <w:tcPr>
            <w:tcW w:type="dxa" w:w="5328"/>
            <w:tcMar>
              <w:top w:w="70" w:type="dxa"/>
              <w:start w:w="90" w:type="dxa"/>
              <w:bottom w:w="70" w:type="dxa"/>
              <w:end w:w="90" w:type="dxa"/>
            </w:tcMar>
            <w:vAlign w:val="top"/>
          </w:tcPr>
          <w:p>
            <w:pPr>
              <w:spacing w:after="0"/>
            </w:pPr>
            <w:r/>
            <w:r>
              <w:rPr>
                <w:rFonts w:ascii="Carlito" w:hAnsi="Carlito"/>
                <w:sz w:val="15"/>
              </w:rPr>
              <w:t>Shock only</w:t>
            </w:r>
          </w:p>
        </w:tc>
      </w:tr>
      <w:tr>
        <w:trPr>
          <w:cantSplit/>
        </w:trPr>
        <w:tc>
          <w:tcPr>
            <w:tcW w:type="dxa" w:w="4752"/>
            <w:tcMar>
              <w:top w:w="70" w:type="dxa"/>
              <w:start w:w="90" w:type="dxa"/>
              <w:bottom w:w="70" w:type="dxa"/>
              <w:end w:w="90" w:type="dxa"/>
            </w:tcMar>
            <w:vAlign w:val="top"/>
            <w:shd w:fill="F3F6FA"/>
          </w:tcPr>
          <w:p>
            <w:pPr>
              <w:spacing w:after="0"/>
            </w:pPr>
            <w:r/>
            <w:r>
              <w:rPr>
                <w:rFonts w:ascii="Carlito" w:hAnsi="Carlito"/>
                <w:sz w:val="15"/>
              </w:rPr>
              <w:t>NetBlocks</w:t>
            </w:r>
          </w:p>
        </w:tc>
        <w:tc>
          <w:tcPr>
            <w:tcW w:type="dxa" w:w="5328"/>
            <w:tcMar>
              <w:top w:w="70" w:type="dxa"/>
              <w:start w:w="90" w:type="dxa"/>
              <w:bottom w:w="70" w:type="dxa"/>
              <w:end w:w="90" w:type="dxa"/>
            </w:tcMar>
            <w:vAlign w:val="top"/>
            <w:shd w:fill="F3F6FA"/>
          </w:tcPr>
          <w:p>
            <w:pPr>
              <w:spacing w:after="0"/>
            </w:pPr>
            <w:r/>
            <w:r>
              <w:rPr>
                <w:rFonts w:ascii="Carlito" w:hAnsi="Carlito"/>
                <w:sz w:val="15"/>
              </w:rPr>
              <w:t>Context / shock</w:t>
            </w:r>
          </w:p>
        </w:tc>
      </w:tr>
      <w:tr>
        <w:trPr>
          <w:cantSplit/>
        </w:trPr>
        <w:tc>
          <w:tcPr>
            <w:tcW w:type="dxa" w:w="4752"/>
            <w:tcMar>
              <w:top w:w="70" w:type="dxa"/>
              <w:start w:w="90" w:type="dxa"/>
              <w:bottom w:w="70" w:type="dxa"/>
              <w:end w:w="90" w:type="dxa"/>
            </w:tcMar>
            <w:vAlign w:val="top"/>
          </w:tcPr>
          <w:p>
            <w:pPr>
              <w:spacing w:after="0"/>
            </w:pPr>
            <w:r/>
            <w:r>
              <w:rPr>
                <w:rFonts w:ascii="Carlito" w:hAnsi="Carlito"/>
                <w:sz w:val="15"/>
              </w:rPr>
              <w:t>OECD.AI accountability</w:t>
            </w:r>
          </w:p>
        </w:tc>
        <w:tc>
          <w:tcPr>
            <w:tcW w:type="dxa" w:w="5328"/>
            <w:tcMar>
              <w:top w:w="70" w:type="dxa"/>
              <w:start w:w="90" w:type="dxa"/>
              <w:bottom w:w="70" w:type="dxa"/>
              <w:end w:w="90" w:type="dxa"/>
            </w:tcMar>
            <w:vAlign w:val="top"/>
          </w:tcPr>
          <w:p>
            <w:pPr>
              <w:spacing w:after="0"/>
            </w:pPr>
            <w:r/>
            <w:r>
              <w:rPr>
                <w:rFonts w:ascii="Carlito" w:hAnsi="Carlito"/>
                <w:sz w:val="15"/>
              </w:rPr>
              <w:t>Add</w:t>
            </w:r>
          </w:p>
        </w:tc>
      </w:tr>
      <w:tr>
        <w:trPr>
          <w:cantSplit/>
        </w:trPr>
        <w:tc>
          <w:tcPr>
            <w:tcW w:type="dxa" w:w="4752"/>
            <w:tcMar>
              <w:top w:w="70" w:type="dxa"/>
              <w:start w:w="90" w:type="dxa"/>
              <w:bottom w:w="70" w:type="dxa"/>
              <w:end w:w="90" w:type="dxa"/>
            </w:tcMar>
            <w:vAlign w:val="top"/>
            <w:shd w:fill="F3F6FA"/>
          </w:tcPr>
          <w:p>
            <w:pPr>
              <w:spacing w:after="0"/>
            </w:pPr>
            <w:r/>
            <w:r>
              <w:rPr>
                <w:rFonts w:ascii="Carlito" w:hAnsi="Carlito"/>
                <w:sz w:val="15"/>
              </w:rPr>
              <w:t>Container throughput</w:t>
            </w:r>
          </w:p>
        </w:tc>
        <w:tc>
          <w:tcPr>
            <w:tcW w:type="dxa" w:w="5328"/>
            <w:tcMar>
              <w:top w:w="70" w:type="dxa"/>
              <w:start w:w="90" w:type="dxa"/>
              <w:bottom w:w="70" w:type="dxa"/>
              <w:end w:w="90" w:type="dxa"/>
            </w:tcMar>
            <w:vAlign w:val="top"/>
            <w:shd w:fill="F3F6FA"/>
          </w:tcPr>
          <w:p>
            <w:pPr>
              <w:spacing w:after="0"/>
            </w:pPr>
            <w:r/>
            <w:r>
              <w:rPr>
                <w:rFonts w:ascii="Carlito" w:hAnsi="Carlito"/>
                <w:sz w:val="15"/>
              </w:rPr>
              <w:t>Context / corroboration</w:t>
            </w:r>
          </w:p>
        </w:tc>
      </w:tr>
      <w:tr>
        <w:trPr>
          <w:cantSplit/>
        </w:trPr>
        <w:tc>
          <w:tcPr>
            <w:tcW w:type="dxa" w:w="4752"/>
            <w:tcMar>
              <w:top w:w="70" w:type="dxa"/>
              <w:start w:w="90" w:type="dxa"/>
              <w:bottom w:w="70" w:type="dxa"/>
              <w:end w:w="90" w:type="dxa"/>
            </w:tcMar>
            <w:vAlign w:val="top"/>
          </w:tcPr>
          <w:p>
            <w:pPr>
              <w:spacing w:after="0"/>
            </w:pPr>
            <w:r/>
            <w:r>
              <w:rPr>
                <w:rFonts w:ascii="Carlito" w:hAnsi="Carlito"/>
                <w:sz w:val="15"/>
              </w:rPr>
              <w:t>UNCTAD LSCI</w:t>
            </w:r>
          </w:p>
        </w:tc>
        <w:tc>
          <w:tcPr>
            <w:tcW w:type="dxa" w:w="5328"/>
            <w:tcMar>
              <w:top w:w="70" w:type="dxa"/>
              <w:start w:w="90" w:type="dxa"/>
              <w:bottom w:w="70" w:type="dxa"/>
              <w:end w:w="90" w:type="dxa"/>
            </w:tcMar>
            <w:vAlign w:val="top"/>
          </w:tcPr>
          <w:p>
            <w:pPr>
              <w:spacing w:after="0"/>
            </w:pPr>
            <w:r/>
            <w:r>
              <w:rPr>
                <w:rFonts w:ascii="Carlito" w:hAnsi="Carlito"/>
                <w:sz w:val="15"/>
              </w:rPr>
              <w:t>Retain</w:t>
            </w:r>
          </w:p>
        </w:tc>
      </w:tr>
      <w:tr>
        <w:trPr>
          <w:cantSplit/>
        </w:trPr>
        <w:tc>
          <w:tcPr>
            <w:tcW w:type="dxa" w:w="4752"/>
            <w:tcMar>
              <w:top w:w="70" w:type="dxa"/>
              <w:start w:w="90" w:type="dxa"/>
              <w:bottom w:w="70" w:type="dxa"/>
              <w:end w:w="90" w:type="dxa"/>
            </w:tcMar>
            <w:vAlign w:val="top"/>
            <w:shd w:fill="F3F6FA"/>
          </w:tcPr>
          <w:p>
            <w:pPr>
              <w:spacing w:after="0"/>
            </w:pPr>
            <w:r/>
            <w:r>
              <w:rPr>
                <w:rFonts w:ascii="Carlito" w:hAnsi="Carlito"/>
                <w:sz w:val="15"/>
              </w:rPr>
              <w:t>Operational compact evidence</w:t>
            </w:r>
          </w:p>
        </w:tc>
        <w:tc>
          <w:tcPr>
            <w:tcW w:type="dxa" w:w="5328"/>
            <w:tcMar>
              <w:top w:w="70" w:type="dxa"/>
              <w:start w:w="90" w:type="dxa"/>
              <w:bottom w:w="70" w:type="dxa"/>
              <w:end w:w="90" w:type="dxa"/>
            </w:tcMar>
            <w:vAlign w:val="top"/>
            <w:shd w:fill="F3F6FA"/>
          </w:tcPr>
          <w:p>
            <w:pPr>
              <w:spacing w:after="0"/>
            </w:pPr>
            <w:r/>
            <w:r>
              <w:rPr>
                <w:rFonts w:ascii="Carlito" w:hAnsi="Carlito"/>
                <w:sz w:val="15"/>
              </w:rPr>
              <w:t>Add</w:t>
            </w:r>
          </w:p>
        </w:tc>
      </w:tr>
      <w:tr>
        <w:trPr>
          <w:cantSplit/>
        </w:trPr>
        <w:tc>
          <w:tcPr>
            <w:tcW w:type="dxa" w:w="4752"/>
            <w:tcMar>
              <w:top w:w="70" w:type="dxa"/>
              <w:start w:w="90" w:type="dxa"/>
              <w:bottom w:w="70" w:type="dxa"/>
              <w:end w:w="90" w:type="dxa"/>
            </w:tcMar>
            <w:vAlign w:val="top"/>
          </w:tcPr>
          <w:p>
            <w:pPr>
              <w:spacing w:after="0"/>
            </w:pPr>
            <w:r/>
            <w:r>
              <w:rPr>
                <w:rFonts w:ascii="Carlito" w:hAnsi="Carlito"/>
                <w:sz w:val="15"/>
              </w:rPr>
              <w:t>M-Lab latency</w:t>
            </w:r>
          </w:p>
        </w:tc>
        <w:tc>
          <w:tcPr>
            <w:tcW w:type="dxa" w:w="5328"/>
            <w:tcMar>
              <w:top w:w="70" w:type="dxa"/>
              <w:start w:w="90" w:type="dxa"/>
              <w:bottom w:w="70" w:type="dxa"/>
              <w:end w:w="90" w:type="dxa"/>
            </w:tcMar>
            <w:vAlign w:val="top"/>
          </w:tcPr>
          <w:p>
            <w:pPr>
              <w:spacing w:after="0"/>
            </w:pPr>
            <w:r/>
            <w:r>
              <w:rPr>
                <w:rFonts w:ascii="Carlito" w:hAnsi="Carlito"/>
                <w:sz w:val="15"/>
              </w:rPr>
              <w:t>Demote</w:t>
            </w:r>
          </w:p>
        </w:tc>
      </w:tr>
      <w:tr>
        <w:trPr>
          <w:cantSplit/>
        </w:trPr>
        <w:tc>
          <w:tcPr>
            <w:tcW w:type="dxa" w:w="4752"/>
            <w:tcMar>
              <w:top w:w="70" w:type="dxa"/>
              <w:start w:w="90" w:type="dxa"/>
              <w:bottom w:w="70" w:type="dxa"/>
              <w:end w:w="90" w:type="dxa"/>
            </w:tcMar>
            <w:vAlign w:val="top"/>
            <w:shd w:fill="F3F6FA"/>
          </w:tcPr>
          <w:p>
            <w:pPr>
              <w:spacing w:after="0"/>
            </w:pPr>
            <w:r/>
            <w:r>
              <w:rPr>
                <w:rFonts w:ascii="Carlito" w:hAnsi="Carlito"/>
                <w:sz w:val="15"/>
              </w:rPr>
              <w:t>M-Lab download</w:t>
            </w:r>
          </w:p>
        </w:tc>
        <w:tc>
          <w:tcPr>
            <w:tcW w:type="dxa" w:w="5328"/>
            <w:tcMar>
              <w:top w:w="70" w:type="dxa"/>
              <w:start w:w="90" w:type="dxa"/>
              <w:bottom w:w="70" w:type="dxa"/>
              <w:end w:w="90" w:type="dxa"/>
            </w:tcMar>
            <w:vAlign w:val="top"/>
            <w:shd w:fill="F3F6FA"/>
          </w:tcPr>
          <w:p>
            <w:pPr>
              <w:spacing w:after="0"/>
            </w:pPr>
            <w:r/>
            <w:r>
              <w:rPr>
                <w:rFonts w:ascii="Carlito" w:hAnsi="Carlito"/>
                <w:sz w:val="15"/>
              </w:rPr>
              <w:t>Demote</w:t>
            </w:r>
          </w:p>
        </w:tc>
      </w:tr>
      <w:tr>
        <w:trPr>
          <w:cantSplit/>
        </w:trPr>
        <w:tc>
          <w:tcPr>
            <w:tcW w:type="dxa" w:w="4752"/>
            <w:tcMar>
              <w:top w:w="70" w:type="dxa"/>
              <w:start w:w="90" w:type="dxa"/>
              <w:bottom w:w="70" w:type="dxa"/>
              <w:end w:w="90" w:type="dxa"/>
            </w:tcMar>
            <w:vAlign w:val="top"/>
          </w:tcPr>
          <w:p>
            <w:pPr>
              <w:spacing w:after="0"/>
            </w:pPr>
            <w:r/>
            <w:r>
              <w:rPr>
                <w:rFonts w:ascii="Carlito" w:hAnsi="Carlito"/>
                <w:sz w:val="15"/>
              </w:rPr>
              <w:t>Epoch compute concentration</w:t>
            </w:r>
          </w:p>
        </w:tc>
        <w:tc>
          <w:tcPr>
            <w:tcW w:type="dxa" w:w="5328"/>
            <w:tcMar>
              <w:top w:w="70" w:type="dxa"/>
              <w:start w:w="90" w:type="dxa"/>
              <w:bottom w:w="70" w:type="dxa"/>
              <w:end w:w="90" w:type="dxa"/>
            </w:tcMar>
            <w:vAlign w:val="top"/>
          </w:tcPr>
          <w:p>
            <w:pPr>
              <w:spacing w:after="0"/>
            </w:pPr>
            <w:r/>
            <w:r>
              <w:rPr>
                <w:rFonts w:ascii="Carlito" w:hAnsi="Carlito"/>
                <w:sz w:val="15"/>
              </w:rPr>
              <w:t>Add, fragile</w:t>
            </w:r>
          </w:p>
        </w:tc>
      </w:tr>
      <w:tr>
        <w:trPr>
          <w:cantSplit/>
        </w:trPr>
        <w:tc>
          <w:tcPr>
            <w:tcW w:type="dxa" w:w="4752"/>
            <w:tcMar>
              <w:top w:w="70" w:type="dxa"/>
              <w:start w:w="90" w:type="dxa"/>
              <w:bottom w:w="70" w:type="dxa"/>
              <w:end w:w="90" w:type="dxa"/>
            </w:tcMar>
            <w:vAlign w:val="top"/>
            <w:shd w:fill="F3F6FA"/>
          </w:tcPr>
          <w:p>
            <w:pPr>
              <w:spacing w:after="0"/>
            </w:pPr>
            <w:r/>
            <w:r>
              <w:rPr>
                <w:rFonts w:ascii="Carlito" w:hAnsi="Carlito"/>
                <w:sz w:val="15"/>
              </w:rPr>
              <w:t>OECD AI cloud compute</w:t>
            </w:r>
          </w:p>
        </w:tc>
        <w:tc>
          <w:tcPr>
            <w:tcW w:type="dxa" w:w="5328"/>
            <w:tcMar>
              <w:top w:w="70" w:type="dxa"/>
              <w:start w:w="90" w:type="dxa"/>
              <w:bottom w:w="70" w:type="dxa"/>
              <w:end w:w="90" w:type="dxa"/>
            </w:tcMar>
            <w:vAlign w:val="top"/>
            <w:shd w:fill="F3F6FA"/>
          </w:tcPr>
          <w:p>
            <w:pPr>
              <w:spacing w:after="0"/>
            </w:pPr>
            <w:r/>
            <w:r>
              <w:rPr>
                <w:rFonts w:ascii="Carlito" w:hAnsi="Carlito"/>
                <w:sz w:val="15"/>
              </w:rPr>
              <w:t>Add</w:t>
            </w:r>
          </w:p>
        </w:tc>
      </w:tr>
      <w:tr>
        <w:trPr>
          <w:cantSplit/>
        </w:trPr>
        <w:tc>
          <w:tcPr>
            <w:tcW w:type="dxa" w:w="4752"/>
            <w:tcMar>
              <w:top w:w="70" w:type="dxa"/>
              <w:start w:w="90" w:type="dxa"/>
              <w:bottom w:w="70" w:type="dxa"/>
              <w:end w:w="90" w:type="dxa"/>
            </w:tcMar>
            <w:vAlign w:val="top"/>
          </w:tcPr>
          <w:p>
            <w:pPr>
              <w:spacing w:after="0"/>
            </w:pPr>
            <w:r/>
            <w:r>
              <w:rPr>
                <w:rFonts w:ascii="Carlito" w:hAnsi="Carlito"/>
                <w:sz w:val="15"/>
              </w:rPr>
              <w:t>OECD CLI</w:t>
            </w:r>
          </w:p>
        </w:tc>
        <w:tc>
          <w:tcPr>
            <w:tcW w:type="dxa" w:w="5328"/>
            <w:tcMar>
              <w:top w:w="70" w:type="dxa"/>
              <w:start w:w="90" w:type="dxa"/>
              <w:bottom w:w="70" w:type="dxa"/>
              <w:end w:w="90" w:type="dxa"/>
            </w:tcMar>
            <w:vAlign w:val="top"/>
          </w:tcPr>
          <w:p>
            <w:pPr>
              <w:spacing w:after="0"/>
            </w:pPr>
            <w:r/>
            <w:r>
              <w:rPr>
                <w:rFonts w:ascii="Carlito" w:hAnsi="Carlito"/>
                <w:sz w:val="15"/>
              </w:rPr>
              <w:t>Retain</w:t>
            </w:r>
          </w:p>
        </w:tc>
      </w:tr>
      <w:tr>
        <w:trPr>
          <w:cantSplit/>
        </w:trPr>
        <w:tc>
          <w:tcPr>
            <w:tcW w:type="dxa" w:w="4752"/>
            <w:tcMar>
              <w:top w:w="70" w:type="dxa"/>
              <w:start w:w="90" w:type="dxa"/>
              <w:bottom w:w="70" w:type="dxa"/>
              <w:end w:w="90" w:type="dxa"/>
            </w:tcMar>
            <w:vAlign w:val="top"/>
            <w:shd w:fill="F3F6FA"/>
          </w:tcPr>
          <w:p>
            <w:pPr>
              <w:spacing w:after="0"/>
            </w:pPr>
            <w:r/>
            <w:r>
              <w:rPr>
                <w:rFonts w:ascii="Carlito" w:hAnsi="Carlito"/>
                <w:sz w:val="15"/>
              </w:rPr>
              <w:t>IMF WEO</w:t>
            </w:r>
          </w:p>
        </w:tc>
        <w:tc>
          <w:tcPr>
            <w:tcW w:type="dxa" w:w="5328"/>
            <w:tcMar>
              <w:top w:w="70" w:type="dxa"/>
              <w:start w:w="90" w:type="dxa"/>
              <w:bottom w:w="70" w:type="dxa"/>
              <w:end w:w="90" w:type="dxa"/>
            </w:tcMar>
            <w:vAlign w:val="top"/>
            <w:shd w:fill="F3F6FA"/>
          </w:tcPr>
          <w:p>
            <w:pPr>
              <w:spacing w:after="0"/>
            </w:pPr>
            <w:r/>
            <w:r>
              <w:rPr>
                <w:rFonts w:ascii="Carlito" w:hAnsi="Carlito"/>
                <w:sz w:val="15"/>
              </w:rPr>
              <w:t>Retain</w:t>
            </w:r>
          </w:p>
        </w:tc>
      </w:tr>
      <w:tr>
        <w:trPr>
          <w:cantSplit/>
        </w:trPr>
        <w:tc>
          <w:tcPr>
            <w:tcW w:type="dxa" w:w="4752"/>
            <w:tcMar>
              <w:top w:w="70" w:type="dxa"/>
              <w:start w:w="90" w:type="dxa"/>
              <w:bottom w:w="70" w:type="dxa"/>
              <w:end w:w="90" w:type="dxa"/>
            </w:tcMar>
            <w:vAlign w:val="top"/>
          </w:tcPr>
          <w:p>
            <w:pPr>
              <w:spacing w:after="0"/>
            </w:pPr>
            <w:r/>
            <w:r>
              <w:rPr>
                <w:rFonts w:ascii="Carlito" w:hAnsi="Carlito"/>
                <w:sz w:val="15"/>
              </w:rPr>
              <w:t>ILO employment</w:t>
            </w:r>
          </w:p>
        </w:tc>
        <w:tc>
          <w:tcPr>
            <w:tcW w:type="dxa" w:w="5328"/>
            <w:tcMar>
              <w:top w:w="70" w:type="dxa"/>
              <w:start w:w="90" w:type="dxa"/>
              <w:bottom w:w="70" w:type="dxa"/>
              <w:end w:w="90" w:type="dxa"/>
            </w:tcMar>
            <w:vAlign w:val="top"/>
          </w:tcPr>
          <w:p>
            <w:pPr>
              <w:spacing w:after="0"/>
            </w:pPr>
            <w:r/>
            <w:r>
              <w:rPr>
                <w:rFonts w:ascii="Carlito" w:hAnsi="Carlito"/>
                <w:sz w:val="15"/>
              </w:rPr>
              <w:t>Move to Participation Flag</w:t>
            </w:r>
          </w:p>
        </w:tc>
      </w:tr>
      <w:tr>
        <w:trPr>
          <w:cantSplit/>
        </w:trPr>
        <w:tc>
          <w:tcPr>
            <w:tcW w:type="dxa" w:w="4752"/>
            <w:tcMar>
              <w:top w:w="70" w:type="dxa"/>
              <w:start w:w="90" w:type="dxa"/>
              <w:bottom w:w="70" w:type="dxa"/>
              <w:end w:w="90" w:type="dxa"/>
            </w:tcMar>
            <w:vAlign w:val="top"/>
            <w:shd w:fill="F3F6FA"/>
          </w:tcPr>
          <w:p>
            <w:pPr>
              <w:spacing w:after="0"/>
            </w:pPr>
            <w:r/>
            <w:r>
              <w:rPr>
                <w:rFonts w:ascii="Carlito" w:hAnsi="Carlito"/>
                <w:sz w:val="15"/>
              </w:rPr>
              <w:t>Labor income share</w:t>
            </w:r>
          </w:p>
        </w:tc>
        <w:tc>
          <w:tcPr>
            <w:tcW w:type="dxa" w:w="5328"/>
            <w:tcMar>
              <w:top w:w="70" w:type="dxa"/>
              <w:start w:w="90" w:type="dxa"/>
              <w:bottom w:w="70" w:type="dxa"/>
              <w:end w:w="90" w:type="dxa"/>
            </w:tcMar>
            <w:vAlign w:val="top"/>
            <w:shd w:fill="F3F6FA"/>
          </w:tcPr>
          <w:p>
            <w:pPr>
              <w:spacing w:after="0"/>
            </w:pPr>
            <w:r/>
            <w:r>
              <w:rPr>
                <w:rFonts w:ascii="Carlito" w:hAnsi="Carlito"/>
                <w:sz w:val="15"/>
              </w:rPr>
              <w:t>Add to Participation + Gate</w:t>
            </w:r>
          </w:p>
        </w:tc>
      </w:tr>
      <w:tr>
        <w:trPr>
          <w:cantSplit/>
        </w:trPr>
        <w:tc>
          <w:tcPr>
            <w:tcW w:type="dxa" w:w="4752"/>
            <w:tcMar>
              <w:top w:w="70" w:type="dxa"/>
              <w:start w:w="90" w:type="dxa"/>
              <w:bottom w:w="70" w:type="dxa"/>
              <w:end w:w="90" w:type="dxa"/>
            </w:tcMar>
            <w:vAlign w:val="top"/>
          </w:tcPr>
          <w:p>
            <w:pPr>
              <w:spacing w:after="0"/>
            </w:pPr>
            <w:r/>
            <w:r>
              <w:rPr>
                <w:rFonts w:ascii="Carlito" w:hAnsi="Carlito"/>
                <w:sz w:val="15"/>
              </w:rPr>
              <w:t>GPR</w:t>
            </w:r>
          </w:p>
        </w:tc>
        <w:tc>
          <w:tcPr>
            <w:tcW w:type="dxa" w:w="5328"/>
            <w:tcMar>
              <w:top w:w="70" w:type="dxa"/>
              <w:start w:w="90" w:type="dxa"/>
              <w:bottom w:w="70" w:type="dxa"/>
              <w:end w:w="90" w:type="dxa"/>
            </w:tcMar>
            <w:vAlign w:val="top"/>
          </w:tcPr>
          <w:p>
            <w:pPr>
              <w:spacing w:after="0"/>
            </w:pPr>
            <w:r/>
            <w:r>
              <w:rPr>
                <w:rFonts w:ascii="Carlito" w:hAnsi="Carlito"/>
                <w:sz w:val="15"/>
              </w:rPr>
              <w:t>Retain</w:t>
            </w:r>
          </w:p>
        </w:tc>
      </w:tr>
      <w:tr>
        <w:trPr>
          <w:cantSplit/>
        </w:trPr>
        <w:tc>
          <w:tcPr>
            <w:tcW w:type="dxa" w:w="4752"/>
            <w:tcMar>
              <w:top w:w="70" w:type="dxa"/>
              <w:start w:w="90" w:type="dxa"/>
              <w:bottom w:w="70" w:type="dxa"/>
              <w:end w:w="90" w:type="dxa"/>
            </w:tcMar>
            <w:vAlign w:val="top"/>
            <w:shd w:fill="F3F6FA"/>
          </w:tcPr>
          <w:p>
            <w:pPr>
              <w:spacing w:after="0"/>
            </w:pPr>
            <w:r/>
            <w:r>
              <w:rPr>
                <w:rFonts w:ascii="Carlito" w:hAnsi="Carlito"/>
                <w:sz w:val="15"/>
              </w:rPr>
              <w:t>Global Findex</w:t>
            </w:r>
          </w:p>
        </w:tc>
        <w:tc>
          <w:tcPr>
            <w:tcW w:type="dxa" w:w="5328"/>
            <w:tcMar>
              <w:top w:w="70" w:type="dxa"/>
              <w:start w:w="90" w:type="dxa"/>
              <w:bottom w:w="70" w:type="dxa"/>
              <w:end w:w="90" w:type="dxa"/>
            </w:tcMar>
            <w:vAlign w:val="top"/>
            <w:shd w:fill="F3F6FA"/>
          </w:tcPr>
          <w:p>
            <w:pPr>
              <w:spacing w:after="0"/>
            </w:pPr>
            <w:r/>
            <w:r>
              <w:rPr>
                <w:rFonts w:ascii="Carlito" w:hAnsi="Carlito"/>
                <w:sz w:val="15"/>
              </w:rPr>
              <w:t>Strengthen Gate</w:t>
            </w:r>
          </w:p>
        </w:tc>
      </w:tr>
      <w:tr>
        <w:trPr>
          <w:cantSplit/>
        </w:trPr>
        <w:tc>
          <w:tcPr>
            <w:tcW w:type="dxa" w:w="4752"/>
            <w:tcMar>
              <w:top w:w="70" w:type="dxa"/>
              <w:start w:w="90" w:type="dxa"/>
              <w:bottom w:w="70" w:type="dxa"/>
              <w:end w:w="90" w:type="dxa"/>
            </w:tcMar>
            <w:vAlign w:val="top"/>
          </w:tcPr>
          <w:p>
            <w:pPr>
              <w:spacing w:after="0"/>
            </w:pPr>
            <w:r/>
            <w:r>
              <w:rPr>
                <w:rFonts w:ascii="Carlito" w:hAnsi="Carlito"/>
                <w:sz w:val="15"/>
              </w:rPr>
              <w:t>World Bank inequality/shared prosperity</w:t>
            </w:r>
          </w:p>
        </w:tc>
        <w:tc>
          <w:tcPr>
            <w:tcW w:type="dxa" w:w="5328"/>
            <w:tcMar>
              <w:top w:w="70" w:type="dxa"/>
              <w:start w:w="90" w:type="dxa"/>
              <w:bottom w:w="70" w:type="dxa"/>
              <w:end w:w="90" w:type="dxa"/>
            </w:tcMar>
            <w:vAlign w:val="top"/>
          </w:tcPr>
          <w:p>
            <w:pPr>
              <w:spacing w:after="0"/>
            </w:pPr>
            <w:r/>
            <w:r>
              <w:rPr>
                <w:rFonts w:ascii="Carlito" w:hAnsi="Carlito"/>
                <w:sz w:val="15"/>
              </w:rPr>
              <w:t>Retain</w:t>
            </w:r>
          </w:p>
        </w:tc>
      </w:tr>
      <w:tr>
        <w:trPr>
          <w:cantSplit/>
        </w:trPr>
        <w:tc>
          <w:tcPr>
            <w:tcW w:type="dxa" w:w="4752"/>
            <w:tcMar>
              <w:top w:w="70" w:type="dxa"/>
              <w:start w:w="90" w:type="dxa"/>
              <w:bottom w:w="70" w:type="dxa"/>
              <w:end w:w="90" w:type="dxa"/>
            </w:tcMar>
            <w:vAlign w:val="top"/>
            <w:shd w:fill="F3F6FA"/>
          </w:tcPr>
          <w:p>
            <w:pPr>
              <w:spacing w:after="0"/>
            </w:pPr>
            <w:r/>
            <w:r>
              <w:rPr>
                <w:rFonts w:ascii="Carlito" w:hAnsi="Carlito"/>
                <w:sz w:val="15"/>
              </w:rPr>
              <w:t>WGI Government Effectiveness</w:t>
            </w:r>
          </w:p>
        </w:tc>
        <w:tc>
          <w:tcPr>
            <w:tcW w:type="dxa" w:w="5328"/>
            <w:tcMar>
              <w:top w:w="70" w:type="dxa"/>
              <w:start w:w="90" w:type="dxa"/>
              <w:bottom w:w="70" w:type="dxa"/>
              <w:end w:w="90" w:type="dxa"/>
            </w:tcMar>
            <w:vAlign w:val="top"/>
            <w:shd w:fill="F3F6FA"/>
          </w:tcPr>
          <w:p>
            <w:pPr>
              <w:spacing w:after="0"/>
            </w:pPr>
            <w:r/>
            <w:r>
              <w:rPr>
                <w:rFonts w:ascii="Carlito" w:hAnsi="Carlito"/>
                <w:sz w:val="15"/>
              </w:rPr>
              <w:t>Retain Tier 1</w:t>
            </w:r>
          </w:p>
        </w:tc>
      </w:tr>
      <w:tr>
        <w:trPr>
          <w:cantSplit/>
        </w:trPr>
        <w:tc>
          <w:tcPr>
            <w:tcW w:type="dxa" w:w="4752"/>
            <w:tcMar>
              <w:top w:w="70" w:type="dxa"/>
              <w:start w:w="90" w:type="dxa"/>
              <w:bottom w:w="70" w:type="dxa"/>
              <w:end w:w="90" w:type="dxa"/>
            </w:tcMar>
            <w:vAlign w:val="top"/>
          </w:tcPr>
          <w:p>
            <w:pPr>
              <w:spacing w:after="0"/>
            </w:pPr>
            <w:r/>
            <w:r>
              <w:rPr>
                <w:rFonts w:ascii="Carlito" w:hAnsi="Carlito"/>
                <w:sz w:val="15"/>
              </w:rPr>
              <w:t>Transparency International CPI</w:t>
            </w:r>
          </w:p>
        </w:tc>
        <w:tc>
          <w:tcPr>
            <w:tcW w:type="dxa" w:w="5328"/>
            <w:tcMar>
              <w:top w:w="70" w:type="dxa"/>
              <w:start w:w="90" w:type="dxa"/>
              <w:bottom w:w="70" w:type="dxa"/>
              <w:end w:w="90" w:type="dxa"/>
            </w:tcMar>
            <w:vAlign w:val="top"/>
          </w:tcPr>
          <w:p>
            <w:pPr>
              <w:spacing w:after="0"/>
            </w:pPr>
            <w:r/>
            <w:r>
              <w:rPr>
                <w:rFonts w:ascii="Carlito" w:hAnsi="Carlito"/>
                <w:sz w:val="15"/>
              </w:rPr>
              <w:t>Restore explicit Trust Basket</w:t>
            </w:r>
          </w:p>
        </w:tc>
      </w:tr>
      <w:tr>
        <w:trPr>
          <w:cantSplit/>
        </w:trPr>
        <w:tc>
          <w:tcPr>
            <w:tcW w:type="dxa" w:w="4752"/>
            <w:tcMar>
              <w:top w:w="70" w:type="dxa"/>
              <w:start w:w="90" w:type="dxa"/>
              <w:bottom w:w="70" w:type="dxa"/>
              <w:end w:w="90" w:type="dxa"/>
            </w:tcMar>
            <w:vAlign w:val="top"/>
            <w:shd w:fill="F3F6FA"/>
          </w:tcPr>
          <w:p>
            <w:pPr>
              <w:spacing w:after="0"/>
            </w:pPr>
            <w:r/>
            <w:r>
              <w:rPr>
                <w:rFonts w:ascii="Carlito" w:hAnsi="Carlito"/>
                <w:sz w:val="15"/>
              </w:rPr>
              <w:t>Freedom House</w:t>
            </w:r>
          </w:p>
        </w:tc>
        <w:tc>
          <w:tcPr>
            <w:tcW w:type="dxa" w:w="5328"/>
            <w:tcMar>
              <w:top w:w="70" w:type="dxa"/>
              <w:start w:w="90" w:type="dxa"/>
              <w:bottom w:w="70" w:type="dxa"/>
              <w:end w:w="90" w:type="dxa"/>
            </w:tcMar>
            <w:vAlign w:val="top"/>
            <w:shd w:fill="F3F6FA"/>
          </w:tcPr>
          <w:p>
            <w:pPr>
              <w:spacing w:after="0"/>
            </w:pPr>
            <w:r/>
            <w:r>
              <w:rPr>
                <w:rFonts w:ascii="Carlito" w:hAnsi="Carlito"/>
                <w:sz w:val="15"/>
              </w:rPr>
              <w:t>Restore explicit Trust Basket</w:t>
            </w:r>
          </w:p>
        </w:tc>
      </w:tr>
      <w:tr>
        <w:trPr>
          <w:cantSplit/>
        </w:trPr>
        <w:tc>
          <w:tcPr>
            <w:tcW w:type="dxa" w:w="4752"/>
            <w:tcMar>
              <w:top w:w="70" w:type="dxa"/>
              <w:start w:w="90" w:type="dxa"/>
              <w:bottom w:w="70" w:type="dxa"/>
              <w:end w:w="90" w:type="dxa"/>
            </w:tcMar>
            <w:vAlign w:val="top"/>
          </w:tcPr>
          <w:p>
            <w:pPr>
              <w:spacing w:after="0"/>
            </w:pPr>
            <w:r/>
            <w:r>
              <w:rPr>
                <w:rFonts w:ascii="Carlito" w:hAnsi="Carlito"/>
                <w:sz w:val="15"/>
              </w:rPr>
              <w:t>Gallup institutional confidence</w:t>
            </w:r>
          </w:p>
        </w:tc>
        <w:tc>
          <w:tcPr>
            <w:tcW w:type="dxa" w:w="5328"/>
            <w:tcMar>
              <w:top w:w="70" w:type="dxa"/>
              <w:start w:w="90" w:type="dxa"/>
              <w:bottom w:w="70" w:type="dxa"/>
              <w:end w:w="90" w:type="dxa"/>
            </w:tcMar>
            <w:vAlign w:val="top"/>
          </w:tcPr>
          <w:p>
            <w:pPr>
              <w:spacing w:after="0"/>
            </w:pPr>
            <w:r/>
            <w:r>
              <w:rPr>
                <w:rFonts w:ascii="Carlito" w:hAnsi="Carlito"/>
                <w:sz w:val="15"/>
              </w:rPr>
              <w:t>Restore/add Trust Basket</w:t>
            </w:r>
          </w:p>
        </w:tc>
      </w:tr>
      <w:tr>
        <w:trPr>
          <w:cantSplit/>
        </w:trPr>
        <w:tc>
          <w:tcPr>
            <w:tcW w:type="dxa" w:w="4752"/>
            <w:tcMar>
              <w:top w:w="70" w:type="dxa"/>
              <w:start w:w="90" w:type="dxa"/>
              <w:bottom w:w="70" w:type="dxa"/>
              <w:end w:w="90" w:type="dxa"/>
            </w:tcMar>
            <w:vAlign w:val="top"/>
            <w:shd w:fill="F3F6FA"/>
          </w:tcPr>
          <w:p>
            <w:pPr>
              <w:spacing w:after="0"/>
            </w:pPr>
            <w:r/>
            <w:r>
              <w:rPr>
                <w:rFonts w:ascii="Carlito" w:hAnsi="Carlito"/>
                <w:sz w:val="15"/>
              </w:rPr>
              <w:t>Real GDP growth</w:t>
            </w:r>
          </w:p>
        </w:tc>
        <w:tc>
          <w:tcPr>
            <w:tcW w:type="dxa" w:w="5328"/>
            <w:tcMar>
              <w:top w:w="70" w:type="dxa"/>
              <w:start w:w="90" w:type="dxa"/>
              <w:bottom w:w="70" w:type="dxa"/>
              <w:end w:w="90" w:type="dxa"/>
            </w:tcMar>
            <w:vAlign w:val="top"/>
            <w:shd w:fill="F3F6FA"/>
          </w:tcPr>
          <w:p>
            <w:pPr>
              <w:spacing w:after="0"/>
            </w:pPr>
            <w:r/>
            <w:r>
              <w:rPr>
                <w:rFonts w:ascii="Carlito" w:hAnsi="Carlito"/>
                <w:sz w:val="15"/>
              </w:rPr>
              <w:t>Explicit Macro Panel</w:t>
            </w:r>
          </w:p>
        </w:tc>
      </w:tr>
      <w:tr>
        <w:trPr>
          <w:cantSplit/>
        </w:trPr>
        <w:tc>
          <w:tcPr>
            <w:tcW w:type="dxa" w:w="4752"/>
            <w:tcMar>
              <w:top w:w="70" w:type="dxa"/>
              <w:start w:w="90" w:type="dxa"/>
              <w:bottom w:w="70" w:type="dxa"/>
              <w:end w:w="90" w:type="dxa"/>
            </w:tcMar>
            <w:vAlign w:val="top"/>
          </w:tcPr>
          <w:p>
            <w:pPr>
              <w:spacing w:after="0"/>
            </w:pPr>
            <w:r/>
            <w:r>
              <w:rPr>
                <w:rFonts w:ascii="Carlito" w:hAnsi="Carlito"/>
                <w:sz w:val="15"/>
              </w:rPr>
              <w:t>Real GDP per capita growth</w:t>
            </w:r>
          </w:p>
        </w:tc>
        <w:tc>
          <w:tcPr>
            <w:tcW w:type="dxa" w:w="5328"/>
            <w:tcMar>
              <w:top w:w="70" w:type="dxa"/>
              <w:start w:w="90" w:type="dxa"/>
              <w:bottom w:w="70" w:type="dxa"/>
              <w:end w:w="90" w:type="dxa"/>
            </w:tcMar>
            <w:vAlign w:val="top"/>
          </w:tcPr>
          <w:p>
            <w:pPr>
              <w:spacing w:after="0"/>
            </w:pPr>
            <w:r/>
            <w:r>
              <w:rPr>
                <w:rFonts w:ascii="Carlito" w:hAnsi="Carlito"/>
                <w:sz w:val="15"/>
              </w:rPr>
              <w:t>Explicit Macro Panel</w:t>
            </w:r>
          </w:p>
        </w:tc>
      </w:tr>
      <w:tr>
        <w:trPr>
          <w:cantSplit/>
        </w:trPr>
        <w:tc>
          <w:tcPr>
            <w:tcW w:type="dxa" w:w="4752"/>
            <w:tcMar>
              <w:top w:w="70" w:type="dxa"/>
              <w:start w:w="90" w:type="dxa"/>
              <w:bottom w:w="70" w:type="dxa"/>
              <w:end w:w="90" w:type="dxa"/>
            </w:tcMar>
            <w:vAlign w:val="top"/>
            <w:shd w:fill="F3F6FA"/>
          </w:tcPr>
          <w:p>
            <w:pPr>
              <w:spacing w:after="0"/>
            </w:pPr>
            <w:r/>
            <w:r>
              <w:rPr>
                <w:rFonts w:ascii="Carlito" w:hAnsi="Carlito"/>
                <w:sz w:val="15"/>
              </w:rPr>
              <w:t>Labor productivity growth</w:t>
            </w:r>
          </w:p>
        </w:tc>
        <w:tc>
          <w:tcPr>
            <w:tcW w:type="dxa" w:w="5328"/>
            <w:tcMar>
              <w:top w:w="70" w:type="dxa"/>
              <w:start w:w="90" w:type="dxa"/>
              <w:bottom w:w="70" w:type="dxa"/>
              <w:end w:w="90" w:type="dxa"/>
            </w:tcMar>
            <w:vAlign w:val="top"/>
            <w:shd w:fill="F3F6FA"/>
          </w:tcPr>
          <w:p>
            <w:pPr>
              <w:spacing w:after="0"/>
            </w:pPr>
            <w:r/>
            <w:r>
              <w:rPr>
                <w:rFonts w:ascii="Carlito" w:hAnsi="Carlito"/>
                <w:sz w:val="15"/>
              </w:rPr>
              <w:t>Explicit Macro Panel</w:t>
            </w:r>
          </w:p>
        </w:tc>
      </w:tr>
    </w:tbl>
    <w:p>
      <w:pPr>
        <w:spacing w:after="20"/>
      </w:pPr>
    </w:p>
    <w:p>
      <w:pPr>
        <w:pStyle w:val="Heading2"/>
        <w:spacing w:after="100" w:before="0" w:line="259" w:lineRule="auto"/>
      </w:pPr>
      <w:r>
        <w:rPr>
          <w:rFonts w:ascii="Carlito" w:hAnsi="Carlito"/>
        </w:rPr>
        <w:t>A23. Source burden</w:t>
      </w:r>
    </w:p>
    <w:p>
      <w:pPr>
        <w:spacing w:after="100" w:before="0" w:line="259" w:lineRule="auto"/>
      </w:pPr>
      <w:r>
        <w:rPr>
          <w:rFonts w:ascii="Carlito" w:hAnsi="Carlito"/>
        </w:rPr>
        <w:t>The recurring architecture remains deliberately compact. Principal source families are IEA and fixed grid operators; WHO; OECD; OECD.AI; UNCTAD; Epoch AI; ILOSTAT; World Bank; IMF; Freedom House; Transparency International; publicly available Gallup/OECD trust aggregates; and the Geopolitical Risk dataset. Many already existed in v11.9, while several weaker recurring feeds disappear.</w:t>
      </w:r>
    </w:p>
    <w:p>
      <w:pPr>
        <w:pStyle w:val="Heading2"/>
        <w:spacing w:after="100" w:before="0" w:line="259" w:lineRule="auto"/>
      </w:pPr>
      <w:r>
        <w:rPr>
          <w:rFonts w:ascii="Carlito" w:hAnsi="Carlito"/>
        </w:rPr>
        <w:t>A24. Transition from v11.9 to v12</w:t>
      </w:r>
    </w:p>
    <w:p>
      <w:pPr>
        <w:spacing w:after="100" w:before="0" w:line="259" w:lineRule="auto"/>
      </w:pPr>
      <w:r>
        <w:rPr>
          <w:rFonts w:ascii="Carlito" w:hAnsi="Carlito"/>
        </w:rPr>
        <w:t>The final Autumn 2026 v11.9 run remains permanently recorded as the closing v11.9 result and is not retrospectively recalculated. The first v12 report inherits the final v11.9 conditional DTR and LIR outcome probabilities, establishes baselines for new and replacement indicators, establishes the Trust and Macro panels and Participation Stress baseline, establishes the first DTR/LIR posture likelihood, calculates blended probabilities, records the Wealth-Diffusion Gate, and logs all newly introduced indicators as baseline observations rather than probability-moving evidence.</w:t>
      </w:r>
    </w:p>
    <w:p>
      <w:pPr>
        <w:spacing w:before="120" w:after="160"/>
        <w:ind w:left="504" w:right="504"/>
      </w:pPr>
      <w:r>
        <w:rPr>
          <w:rFonts w:ascii="Carlito" w:hAnsi="Carlito"/>
          <w:b/>
          <w:i/>
          <w:color w:val="17365D"/>
          <w:sz w:val="23"/>
        </w:rPr>
        <w:t>Changing the measurement architecture does not imply that the world changed at the same moment.</w:t>
      </w:r>
    </w:p>
    <w:p>
      <w:pPr>
        <w:pStyle w:val="Heading2"/>
        <w:spacing w:after="100" w:before="0" w:line="259" w:lineRule="auto"/>
      </w:pPr>
      <w:r>
        <w:rPr>
          <w:rFonts w:ascii="Carlito" w:hAnsi="Carlito"/>
        </w:rPr>
        <w:t>A25. Version control</w:t>
      </w:r>
    </w:p>
    <w:p>
      <w:pPr>
        <w:spacing w:after="100" w:before="0" w:line="259" w:lineRule="auto"/>
      </w:pPr>
      <w:r>
        <w:rPr>
          <w:rFonts w:ascii="Carlito" w:hAnsi="Carlito"/>
        </w:rPr>
        <w:t>v12.0 denotes the methodological architecture. Runs are labeled v12.0-R1, v12.0-R2 and so on. A move to v12.1 or v13 requires an actual change in indicators, rules, thresholds or model structure.</w:t>
      </w:r>
    </w:p>
    <w:p>
      <w:pPr>
        <w:pStyle w:val="Heading2"/>
        <w:spacing w:after="100" w:before="0" w:line="259" w:lineRule="auto"/>
      </w:pPr>
      <w:r>
        <w:rPr>
          <w:rFonts w:ascii="Carlito" w:hAnsi="Carlito"/>
        </w:rPr>
        <w:t>A26. Audit additions</w:t>
      </w:r>
    </w:p>
    <w:p>
      <w:pPr>
        <w:spacing w:after="100" w:before="0" w:line="259" w:lineRule="auto"/>
      </w:pPr>
      <w:r>
        <w:rPr>
          <w:rFonts w:ascii="Carlito" w:hAnsi="Carlito"/>
        </w:rPr>
        <w:t>The Family Rule prevents related sub-indicators from counting as independent corroboration. The Source Hierarchy prefers official international statistics, official national/operator data, reproducible independent public datasets, academic evidence, then consultancy/vendor evidence. The Estimated-Data Rule requires modeled sources such as compute ownership estimates to be labeled and subjected to fragile-source caps. The No-Source Rule records an evidence gap rather than manufacturing a proxy simply to complete the dashboard.</w:t>
      </w:r>
    </w:p>
    <w:p>
      <w:pPr>
        <w:pStyle w:val="Heading2"/>
        <w:spacing w:after="100" w:before="0" w:line="259" w:lineRule="auto"/>
      </w:pPr>
      <w:r>
        <w:rPr>
          <w:rFonts w:ascii="Carlito" w:hAnsi="Carlito"/>
        </w:rPr>
        <w:t>A27. Net conceptual effect</w:t>
      </w:r>
    </w:p>
    <w:p>
      <w:pPr>
        <w:spacing w:after="100" w:before="0" w:line="259" w:lineRule="auto"/>
      </w:pPr>
      <w:r>
        <w:rPr>
          <w:rFonts w:ascii="Carlito" w:hAnsi="Carlito"/>
        </w:rPr>
        <w:t>v11.9 can be summarized as DTR or LIR leading to conditional FE, MD, UT or LC outcomes. v12 adds structural conditions, economic performance and observed policy posture, then estimates the probability of DTR versus LIR, retains the conditional pathways, and calculates blended real-world outcome probabilities. Growth is visible but not equated with empowerment. Institutional trust is visible but kept distinct from operational AI governance. Labor participation is visible without creating a seventh silo. Compute is measured as economic infrastructure rather than internet speed. The Wealth-Diffusion Gate remains the test that distinguishes technical capability from shared agency.</w:t>
      </w:r>
    </w:p>
    <w:tbl>
      <w:tblPr>
        <w:tblStyle w:val="TableGrid"/>
        <w:tblW w:type="auto" w:w="0"/>
        <w:jc w:val="center"/>
        <w:tblLook w:firstColumn="1" w:firstRow="1" w:lastColumn="0" w:lastRow="0" w:noHBand="0" w:noVBand="1" w:val="04A0"/>
      </w:tblPr>
      <w:tblGrid>
        <w:gridCol w:w="10051"/>
      </w:tblGrid>
      <w:tr>
        <w:trPr>
          <w:cantSplit/>
        </w:trPr>
        <w:tc>
          <w:tcPr>
            <w:tcW w:type="dxa" w:w="10051"/>
            <w:shd w:fill="D9EAF7"/>
            <w:tcMar>
              <w:top w:w="120" w:type="dxa"/>
              <w:start w:w="160" w:type="dxa"/>
              <w:bottom w:w="120" w:type="dxa"/>
              <w:end w:w="160" w:type="dxa"/>
            </w:tcMar>
          </w:tcPr>
          <w:p>
            <w:pPr>
              <w:spacing w:after="60"/>
            </w:pPr>
            <w:r>
              <w:rPr>
                <w:rFonts w:ascii="Carlito" w:hAnsi="Carlito"/>
                <w:b/>
                <w:color w:val="17365D"/>
                <w:sz w:val="22"/>
              </w:rPr>
              <w:t>Frozen v12.0 design principle</w:t>
            </w:r>
          </w:p>
          <w:p>
            <w:pPr>
              <w:spacing w:after="0" w:line="259" w:lineRule="auto"/>
            </w:pPr>
            <w:r>
              <w:rPr>
                <w:rFonts w:ascii="Carlito" w:hAnsi="Carlito"/>
                <w:sz w:val="20"/>
              </w:rPr>
              <w:t>Grey Swan v12 does not seek to measure everything that matters. It seeks to measure a small number of things that reveal whether productive capability, institutional capacity and shared participation are moving together. Growth without diffusion is concentration. Diffusion without productive capability is fragile. Technical capability without institutional legitimacy is unstable. Full Empowerment requires all three.</w:t>
            </w:r>
          </w:p>
        </w:tc>
      </w:tr>
    </w:tbl>
    <w:p>
      <w:pPr>
        <w:spacing w:after="20"/>
      </w:pPr>
    </w:p>
    <w:sectPr w:rsidR="00FC693F" w:rsidRPr="0006063C" w:rsidSect="00034616">
      <w:footerReference w:type="default" r:id="rId9"/>
      <w:pgSz w:w="12240" w:h="15840"/>
      <w:pgMar w:top="979" w:right="1037"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rlito" w:hAnsi="Carlito"/>
        <w:color w:val="666666"/>
        <w:sz w:val="16"/>
      </w:rPr>
      <w:t xml:space="preserve">Grey Swan / Archimedes v12.0-R1   |   September 2026   |   </w:t>
    </w:r>
    <w: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rlito" w:hAnsi="Carlit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Carlito" w:hAnsi="Carlito"/>
      <w:b/>
      <w:bCs/>
      <w:color w:val="17365D"/>
      <w:sz w:val="30"/>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Carlito" w:hAnsi="Carlito"/>
      <w:b/>
      <w:bCs/>
      <w:color w:val="1F4E79"/>
      <w:sz w:val="24"/>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ascii="Carlito" w:hAnsi="Carlito"/>
      <w:b/>
      <w:bCs/>
      <w:color w:val="1F4E79"/>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rlito" w:hAnsi="Carlito"/>
      <w:b/>
      <w:color w:val="17365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rlito" w:hAnsi="Carlito"/>
      <w:sz w:val="20"/>
    </w:rPr>
  </w:style>
  <w:style w:type="paragraph" w:styleId="ListBullet2">
    <w:name w:val="List Bullet 2"/>
    <w:basedOn w:val="Normal"/>
    <w:uiPriority w:val="99"/>
    <w:unhideWhenUsed/>
    <w:rsid w:val="00326F90"/>
    <w:pPr>
      <w:numPr>
        <w:numId w:val="2"/>
      </w:numPr>
      <w:contextualSpacing/>
    </w:pPr>
    <w:rPr>
      <w:rFonts w:ascii="Carlito" w:hAnsi="Carlito"/>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Carlito" w:hAnsi="Carlito"/>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