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center"/>
      </w:pPr>
      <w:r>
        <w:rPr>
          <w:rFonts w:ascii="Arial" w:hAnsi="Arial"/>
          <w:b/>
          <w:color w:val="1F4E79"/>
          <w:sz w:val="24"/>
        </w:rPr>
        <w:t>GREY SWAN / ARCHIMEDES</w:t>
      </w:r>
    </w:p>
    <w:p>
      <w:pPr>
        <w:jc w:val="center"/>
      </w:pPr>
      <w:r>
        <w:rPr>
          <w:rFonts w:ascii="Arial" w:hAnsi="Arial"/>
          <w:b/>
          <w:color w:val="17365D"/>
          <w:sz w:val="50"/>
        </w:rPr>
        <w:t>Technical Change Note</w:t>
      </w:r>
    </w:p>
    <w:p>
      <w:pPr>
        <w:jc w:val="center"/>
      </w:pPr>
      <w:r>
        <w:rPr>
          <w:rFonts w:ascii="Arial" w:hAnsi="Arial"/>
          <w:b/>
          <w:color w:val="1F4E79"/>
          <w:sz w:val="36"/>
        </w:rPr>
        <w:t>Transition from v11.9 to v12.0</w:t>
      </w:r>
    </w:p>
    <w:p>
      <w:pPr>
        <w:spacing w:before="360" w:after="360"/>
        <w:ind w:left="1800" w:right="1800"/>
        <w:jc w:val="center"/>
        <w:shd w:fill="17365D"/>
      </w:pPr>
      <w:r>
        <w:rPr>
          <w:rFonts w:ascii="Arial" w:hAnsi="Arial"/>
          <w:b/>
          <w:color w:val="FFFFFF"/>
          <w:sz w:val="21"/>
        </w:rPr>
        <w:t>Status: FROZEN METHODOLOGICAL SPECIFICATION</w:t>
      </w:r>
    </w:p>
    <w:p>
      <w:pPr>
        <w:jc w:val="center"/>
      </w:pPr>
      <w:r>
        <w:rPr>
          <w:rFonts w:ascii="Arial" w:hAnsi="Arial"/>
          <w:b/>
          <w:color w:val="464646"/>
          <w:sz w:val="20"/>
        </w:rPr>
        <w:t xml:space="preserve">Scope: </w:t>
      </w:r>
      <w:r>
        <w:rPr>
          <w:rFonts w:ascii="Arial" w:hAnsi="Arial"/>
          <w:color w:val="464646"/>
          <w:sz w:val="20"/>
        </w:rPr>
        <w:t>Global Grey Swan model</w:t>
      </w:r>
    </w:p>
    <w:p>
      <w:pPr>
        <w:jc w:val="center"/>
      </w:pPr>
      <w:r>
        <w:rPr>
          <w:rFonts w:ascii="Arial" w:hAnsi="Arial"/>
          <w:b/>
          <w:color w:val="464646"/>
          <w:sz w:val="20"/>
        </w:rPr>
        <w:t xml:space="preserve">Purpose: </w:t>
      </w:r>
      <w:r>
        <w:rPr>
          <w:rFonts w:ascii="Arial" w:hAnsi="Arial"/>
          <w:color w:val="464646"/>
          <w:sz w:val="20"/>
        </w:rPr>
        <w:t>Document the methodological changes between v11.9 and v12.0 before any v12 probabilities are generated.</w:t>
      </w:r>
    </w:p>
    <w:p>
      <w:pPr>
        <w:jc w:val="center"/>
      </w:pPr>
      <w:r>
        <w:rPr>
          <w:rFonts w:ascii="Arial" w:hAnsi="Arial"/>
          <w:b/>
          <w:color w:val="464646"/>
          <w:sz w:val="20"/>
        </w:rPr>
        <w:t xml:space="preserve">Run status: </w:t>
      </w:r>
      <w:r>
        <w:rPr>
          <w:rFonts w:ascii="Arial" w:hAnsi="Arial"/>
          <w:color w:val="464646"/>
          <w:sz w:val="20"/>
        </w:rPr>
        <w:t>No v12 model run is contained in this note. The final Autumn 2026 v11.9 run remains the closing v11.9 record.</w:t>
      </w:r>
    </w:p>
    <w:p>
      <w:r>
        <w:br w:type="page"/>
      </w:r>
    </w:p>
    <w:p>
      <w:pPr>
        <w:pStyle w:val="Heading1"/>
        <w:spacing w:after="120" w:line="259" w:lineRule="auto"/>
      </w:pPr>
      <w:r>
        <w:rPr>
          <w:rFonts w:ascii="Arial" w:hAnsi="Arial"/>
        </w:rPr>
        <w:t>1. Executive summary</w:t>
      </w:r>
    </w:p>
    <w:p>
      <w:pPr>
        <w:spacing w:after="120" w:line="259" w:lineRule="auto"/>
      </w:pPr>
      <w:r>
        <w:rPr>
          <w:rFonts w:ascii="Arial" w:hAnsi="Arial"/>
        </w:rPr>
        <w:t>Grey Swan / Archimedes v12.0 is a methodological upgrade rather than a redesign.</w:t>
      </w:r>
    </w:p>
    <w:p>
      <w:pPr>
        <w:spacing w:after="120" w:line="259" w:lineRule="auto"/>
      </w:pPr>
      <w:r>
        <w:rPr>
          <w:rFonts w:ascii="Arial" w:hAnsi="Arial"/>
        </w:rPr>
        <w:t>The core structure remains unchanged. Grey Swan continues to distinguish two leadership postures, Do The Right Thing (DTR) and Let It Rip (LIR), and four possible system outcomes: Full Empowerment (FE), Managed Disruption (MD), Uneven Transition (UT), and Lost Control (LC). The six Archimedes levers remain energy and grids, health security and workforce, education and skills, trust and information integrity, treaty-lite coordination and supply security, and compute and AI access. Climate remains a cross-cutting constraint, while the Wealth-Diffusion Gate continues to prevent technological progress from being classified as empowerment unless gains are broadly shared.</w:t>
      </w:r>
    </w:p>
    <w:p>
      <w:pPr>
        <w:spacing w:after="120" w:line="259" w:lineRule="auto"/>
      </w:pPr>
      <w:r>
        <w:rPr>
          <w:rFonts w:ascii="Arial" w:hAnsi="Arial"/>
        </w:rPr>
        <w:t>The rationale for v12 is that the Autumn 2026 v11.9 run exposed an increasing mismatch between several of the model's conceptual variables and the proxies being used to measure them. Broadband speed is not equivalent to productive AI access. Internet outages are not a sufficient measure of institutional trust or AI accountability. DOI and ORCID activity do not adequately represent educational adaptability. Influenza incidence does not measure health-system capability.</w:t>
      </w:r>
    </w:p>
    <w:p>
      <w:pPr>
        <w:spacing w:after="120" w:line="259" w:lineRule="auto"/>
      </w:pPr>
      <w:r>
        <w:rPr>
          <w:rFonts w:ascii="Arial" w:hAnsi="Arial"/>
        </w:rPr>
        <w:t>At the same time, later Grey Swan work has strengthened several elements that were already implicit in the original model: institutional trust, state capacity, economic participation, wealth diffusion, and the distinction between technological capability and socially shared capability. Positive 2050 particularly strengthens the argument that progress across individual pillars is insufficient unless those gains become embedded in households, workers, SMEs, regions and public systems.</w:t>
      </w:r>
    </w:p>
    <w:p>
      <w:pPr>
        <w:spacing w:before="160" w:after="200"/>
        <w:jc w:val="center"/>
      </w:pPr>
      <w:r>
        <w:rPr>
          <w:rFonts w:ascii="Arial" w:hAnsi="Arial"/>
          <w:b/>
          <w:i/>
          <w:color w:val="17365D"/>
          <w:sz w:val="26"/>
        </w:rPr>
        <w:t>Better measurement, not more measurement.</w:t>
      </w:r>
    </w:p>
    <w:p>
      <w:pPr>
        <w:spacing w:after="120" w:line="259" w:lineRule="auto"/>
      </w:pPr>
      <w:r>
        <w:rPr>
          <w:rFonts w:ascii="Arial" w:hAnsi="Arial"/>
        </w:rPr>
        <w:t>The revised architecture uses a smaller number of more conceptually direct probability-moving indicators, restores a formal Structural Trust Basket, makes economic growth and productivity explicitly visible through a Macro Performance Panel, introduces a Participation Stress Flag, strengthens the Wealth-Diffusion Gate, and adds a new Posture Likelihood layer above the existing DTR/LIR conditional scenarios.</w:t>
      </w:r>
    </w:p>
    <w:p>
      <w:pPr>
        <w:spacing w:after="120" w:line="259" w:lineRule="auto"/>
      </w:pPr>
      <w:r>
        <w:rPr>
          <w:rFonts w:ascii="Arial" w:hAnsi="Arial"/>
        </w:rPr>
        <w:t>No probabilities are changed by this technical note.</w:t>
      </w:r>
    </w:p>
    <w:p>
      <w:pPr>
        <w:pStyle w:val="Heading1"/>
        <w:spacing w:after="120" w:line="259" w:lineRule="auto"/>
      </w:pPr>
      <w:r>
        <w:rPr>
          <w:rFonts w:ascii="Arial" w:hAnsi="Arial"/>
        </w:rPr>
        <w:t>2. Core architecture retained</w:t>
      </w:r>
    </w:p>
    <w:tbl>
      <w:tblPr>
        <w:tblStyle w:val="TableGrid"/>
        <w:tblW w:type="auto" w:w="0"/>
        <w:jc w:val="center"/>
        <w:tblLayout w:type="autofit"/>
        <w:tblLook w:firstColumn="1" w:firstRow="1" w:lastColumn="0" w:lastRow="0" w:noHBand="0" w:noVBand="1" w:val="04A0"/>
      </w:tblPr>
      <w:tblGrid>
        <w:gridCol w:w="5040"/>
        <w:gridCol w:w="5040"/>
      </w:tblGrid>
      <w:tr>
        <w:trPr>
          <w:tblHeader w:val="true"/>
        </w:trPr>
        <w:tc>
          <w:tcPr>
            <w:tcW w:type="dxa" w:w="3744"/>
            <w:shd w:fill="17365D"/>
            <w:tcMar>
              <w:top w:w="80" w:type="dxa"/>
              <w:start w:w="100" w:type="dxa"/>
              <w:bottom w:w="80" w:type="dxa"/>
              <w:end w:w="100" w:type="dxa"/>
            </w:tcMar>
            <w:vAlign w:val="center"/>
          </w:tcPr>
          <w:p>
            <w:pPr>
              <w:jc w:val="left"/>
            </w:pPr>
            <w:r/>
            <w:r>
              <w:rPr>
                <w:rFonts w:ascii="Arial" w:hAnsi="Arial"/>
                <w:b/>
                <w:color w:val="FFFFFF"/>
                <w:sz w:val="17"/>
              </w:rPr>
              <w:t>Component</w:t>
            </w:r>
          </w:p>
        </w:tc>
        <w:tc>
          <w:tcPr>
            <w:tcW w:type="dxa" w:w="6480"/>
            <w:shd w:fill="17365D"/>
            <w:tcMar>
              <w:top w:w="80" w:type="dxa"/>
              <w:start w:w="100" w:type="dxa"/>
              <w:bottom w:w="80" w:type="dxa"/>
              <w:end w:w="100" w:type="dxa"/>
            </w:tcMar>
            <w:vAlign w:val="center"/>
          </w:tcPr>
          <w:p>
            <w:pPr>
              <w:jc w:val="left"/>
            </w:pPr>
            <w:r/>
            <w:r>
              <w:rPr>
                <w:rFonts w:ascii="Arial" w:hAnsi="Arial"/>
                <w:b/>
                <w:color w:val="FFFFFF"/>
                <w:sz w:val="17"/>
              </w:rPr>
              <w:t>v12 treatment</w:t>
            </w:r>
          </w:p>
        </w:tc>
      </w:tr>
      <w:tr>
        <w:tc>
          <w:tcPr>
            <w:tcW w:type="dxa" w:w="3744"/>
            <w:tcMar>
              <w:top w:w="80" w:type="dxa"/>
              <w:start w:w="100" w:type="dxa"/>
              <w:bottom w:w="80" w:type="dxa"/>
              <w:end w:w="100" w:type="dxa"/>
            </w:tcMar>
            <w:vAlign w:val="top"/>
          </w:tcPr>
          <w:p>
            <w:pPr>
              <w:spacing w:after="0"/>
            </w:pPr>
            <w:r/>
            <w:r>
              <w:rPr>
                <w:rFonts w:ascii="Arial" w:hAnsi="Arial"/>
                <w:sz w:val="17"/>
              </w:rPr>
              <w:t>DTR and LIR postures</w:t>
            </w:r>
          </w:p>
        </w:tc>
        <w:tc>
          <w:tcPr>
            <w:tcW w:type="dxa" w:w="6480"/>
            <w:tcMar>
              <w:top w:w="80" w:type="dxa"/>
              <w:start w:w="100" w:type="dxa"/>
              <w:bottom w:w="80" w:type="dxa"/>
              <w:end w:w="100" w:type="dxa"/>
            </w:tcMar>
            <w:vAlign w:val="top"/>
          </w:tcPr>
          <w:p>
            <w:pPr>
              <w:spacing w:after="0"/>
            </w:pPr>
            <w:r/>
            <w:r>
              <w:rPr>
                <w:rFonts w:ascii="Arial" w:hAnsi="Arial"/>
                <w:sz w:val="17"/>
              </w:rPr>
              <w:t>Retained</w:t>
            </w:r>
          </w:p>
        </w:tc>
      </w:tr>
      <w:tr>
        <w:tc>
          <w:tcPr>
            <w:tcW w:type="dxa" w:w="3744"/>
            <w:tcMar>
              <w:top w:w="80" w:type="dxa"/>
              <w:start w:w="100" w:type="dxa"/>
              <w:bottom w:w="80" w:type="dxa"/>
              <w:end w:w="100" w:type="dxa"/>
            </w:tcMar>
            <w:shd w:fill="F3F6FA"/>
            <w:vAlign w:val="top"/>
          </w:tcPr>
          <w:p>
            <w:pPr>
              <w:spacing w:after="0"/>
            </w:pPr>
            <w:r/>
            <w:r>
              <w:rPr>
                <w:rFonts w:ascii="Arial" w:hAnsi="Arial"/>
                <w:sz w:val="17"/>
              </w:rPr>
              <w:t>FE, MD, UT and LC outcomes</w:t>
            </w:r>
          </w:p>
        </w:tc>
        <w:tc>
          <w:tcPr>
            <w:tcW w:type="dxa" w:w="6480"/>
            <w:tcMar>
              <w:top w:w="80" w:type="dxa"/>
              <w:start w:w="100" w:type="dxa"/>
              <w:bottom w:w="80" w:type="dxa"/>
              <w:end w:w="100" w:type="dxa"/>
            </w:tcMar>
            <w:shd w:fill="F3F6FA"/>
            <w:vAlign w:val="top"/>
          </w:tcPr>
          <w:p>
            <w:pPr>
              <w:spacing w:after="0"/>
            </w:pPr>
            <w:r/>
            <w:r>
              <w:rPr>
                <w:rFonts w:ascii="Arial" w:hAnsi="Arial"/>
                <w:sz w:val="17"/>
              </w:rPr>
              <w:t>Retained</w:t>
            </w:r>
          </w:p>
        </w:tc>
      </w:tr>
      <w:tr>
        <w:tc>
          <w:tcPr>
            <w:tcW w:type="dxa" w:w="3744"/>
            <w:tcMar>
              <w:top w:w="80" w:type="dxa"/>
              <w:start w:w="100" w:type="dxa"/>
              <w:bottom w:w="80" w:type="dxa"/>
              <w:end w:w="100" w:type="dxa"/>
            </w:tcMar>
            <w:vAlign w:val="top"/>
          </w:tcPr>
          <w:p>
            <w:pPr>
              <w:spacing w:after="0"/>
            </w:pPr>
            <w:r/>
            <w:r>
              <w:rPr>
                <w:rFonts w:ascii="Arial" w:hAnsi="Arial"/>
                <w:sz w:val="17"/>
              </w:rPr>
              <w:t>2030, 2040 and 2050 horizons</w:t>
            </w:r>
          </w:p>
        </w:tc>
        <w:tc>
          <w:tcPr>
            <w:tcW w:type="dxa" w:w="6480"/>
            <w:tcMar>
              <w:top w:w="80" w:type="dxa"/>
              <w:start w:w="100" w:type="dxa"/>
              <w:bottom w:w="80" w:type="dxa"/>
              <w:end w:w="100" w:type="dxa"/>
            </w:tcMar>
            <w:vAlign w:val="top"/>
          </w:tcPr>
          <w:p>
            <w:pPr>
              <w:spacing w:after="0"/>
            </w:pPr>
            <w:r/>
            <w:r>
              <w:rPr>
                <w:rFonts w:ascii="Arial" w:hAnsi="Arial"/>
                <w:sz w:val="17"/>
              </w:rPr>
              <w:t>Retained</w:t>
            </w:r>
          </w:p>
        </w:tc>
      </w:tr>
      <w:tr>
        <w:tc>
          <w:tcPr>
            <w:tcW w:type="dxa" w:w="3744"/>
            <w:tcMar>
              <w:top w:w="80" w:type="dxa"/>
              <w:start w:w="100" w:type="dxa"/>
              <w:bottom w:w="80" w:type="dxa"/>
              <w:end w:w="100" w:type="dxa"/>
            </w:tcMar>
            <w:shd w:fill="F3F6FA"/>
            <w:vAlign w:val="top"/>
          </w:tcPr>
          <w:p>
            <w:pPr>
              <w:spacing w:after="0"/>
            </w:pPr>
            <w:r/>
            <w:r>
              <w:rPr>
                <w:rFonts w:ascii="Arial" w:hAnsi="Arial"/>
                <w:sz w:val="17"/>
              </w:rPr>
              <w:t>Six Archimedes levers</w:t>
            </w:r>
          </w:p>
        </w:tc>
        <w:tc>
          <w:tcPr>
            <w:tcW w:type="dxa" w:w="6480"/>
            <w:tcMar>
              <w:top w:w="80" w:type="dxa"/>
              <w:start w:w="100" w:type="dxa"/>
              <w:bottom w:w="80" w:type="dxa"/>
              <w:end w:w="100" w:type="dxa"/>
            </w:tcMar>
            <w:shd w:fill="F3F6FA"/>
            <w:vAlign w:val="top"/>
          </w:tcPr>
          <w:p>
            <w:pPr>
              <w:spacing w:after="0"/>
            </w:pPr>
            <w:r/>
            <w:r>
              <w:rPr>
                <w:rFonts w:ascii="Arial" w:hAnsi="Arial"/>
                <w:sz w:val="17"/>
              </w:rPr>
              <w:t>Retained</w:t>
            </w:r>
          </w:p>
        </w:tc>
      </w:tr>
      <w:tr>
        <w:tc>
          <w:tcPr>
            <w:tcW w:type="dxa" w:w="3744"/>
            <w:tcMar>
              <w:top w:w="80" w:type="dxa"/>
              <w:start w:w="100" w:type="dxa"/>
              <w:bottom w:w="80" w:type="dxa"/>
              <w:end w:w="100" w:type="dxa"/>
            </w:tcMar>
            <w:vAlign w:val="top"/>
          </w:tcPr>
          <w:p>
            <w:pPr>
              <w:spacing w:after="0"/>
            </w:pPr>
            <w:r/>
            <w:r>
              <w:rPr>
                <w:rFonts w:ascii="Arial" w:hAnsi="Arial"/>
                <w:sz w:val="17"/>
              </w:rPr>
              <w:t>Climate</w:t>
            </w:r>
          </w:p>
        </w:tc>
        <w:tc>
          <w:tcPr>
            <w:tcW w:type="dxa" w:w="6480"/>
            <w:tcMar>
              <w:top w:w="80" w:type="dxa"/>
              <w:start w:w="100" w:type="dxa"/>
              <w:bottom w:w="80" w:type="dxa"/>
              <w:end w:w="100" w:type="dxa"/>
            </w:tcMar>
            <w:vAlign w:val="top"/>
          </w:tcPr>
          <w:p>
            <w:pPr>
              <w:spacing w:after="0"/>
            </w:pPr>
            <w:r/>
            <w:r>
              <w:rPr>
                <w:rFonts w:ascii="Arial" w:hAnsi="Arial"/>
                <w:sz w:val="17"/>
              </w:rPr>
              <w:t>Retained as cross-cutting constraint</w:t>
            </w:r>
          </w:p>
        </w:tc>
      </w:tr>
      <w:tr>
        <w:tc>
          <w:tcPr>
            <w:tcW w:type="dxa" w:w="3744"/>
            <w:tcMar>
              <w:top w:w="80" w:type="dxa"/>
              <w:start w:w="100" w:type="dxa"/>
              <w:bottom w:w="80" w:type="dxa"/>
              <w:end w:w="100" w:type="dxa"/>
            </w:tcMar>
            <w:shd w:fill="F3F6FA"/>
            <w:vAlign w:val="top"/>
          </w:tcPr>
          <w:p>
            <w:pPr>
              <w:spacing w:after="0"/>
            </w:pPr>
            <w:r/>
            <w:r>
              <w:rPr>
                <w:rFonts w:ascii="Arial" w:hAnsi="Arial"/>
                <w:sz w:val="17"/>
              </w:rPr>
              <w:t>Tier 0 canon</w:t>
            </w:r>
          </w:p>
        </w:tc>
        <w:tc>
          <w:tcPr>
            <w:tcW w:type="dxa" w:w="6480"/>
            <w:tcMar>
              <w:top w:w="80" w:type="dxa"/>
              <w:start w:w="100" w:type="dxa"/>
              <w:bottom w:w="80" w:type="dxa"/>
              <w:end w:w="100" w:type="dxa"/>
            </w:tcMar>
            <w:shd w:fill="F3F6FA"/>
            <w:vAlign w:val="top"/>
          </w:tcPr>
          <w:p>
            <w:pPr>
              <w:spacing w:after="0"/>
            </w:pPr>
            <w:r/>
            <w:r>
              <w:rPr>
                <w:rFonts w:ascii="Arial" w:hAnsi="Arial"/>
                <w:sz w:val="17"/>
              </w:rPr>
              <w:t>Retained</w:t>
            </w:r>
          </w:p>
        </w:tc>
      </w:tr>
      <w:tr>
        <w:tc>
          <w:tcPr>
            <w:tcW w:type="dxa" w:w="3744"/>
            <w:tcMar>
              <w:top w:w="80" w:type="dxa"/>
              <w:start w:w="100" w:type="dxa"/>
              <w:bottom w:w="80" w:type="dxa"/>
              <w:end w:w="100" w:type="dxa"/>
            </w:tcMar>
            <w:vAlign w:val="top"/>
          </w:tcPr>
          <w:p>
            <w:pPr>
              <w:spacing w:after="0"/>
            </w:pPr>
            <w:r/>
            <w:r>
              <w:rPr>
                <w:rFonts w:ascii="Arial" w:hAnsi="Arial"/>
                <w:sz w:val="17"/>
              </w:rPr>
              <w:t>Tier 1 slow anchors</w:t>
            </w:r>
          </w:p>
        </w:tc>
        <w:tc>
          <w:tcPr>
            <w:tcW w:type="dxa" w:w="6480"/>
            <w:tcMar>
              <w:top w:w="80" w:type="dxa"/>
              <w:start w:w="100" w:type="dxa"/>
              <w:bottom w:w="80" w:type="dxa"/>
              <w:end w:w="100" w:type="dxa"/>
            </w:tcMar>
            <w:vAlign w:val="top"/>
          </w:tcPr>
          <w:p>
            <w:pPr>
              <w:spacing w:after="0"/>
            </w:pPr>
            <w:r/>
            <w:r>
              <w:rPr>
                <w:rFonts w:ascii="Arial" w:hAnsi="Arial"/>
                <w:sz w:val="17"/>
              </w:rPr>
              <w:t>Retained and refined</w:t>
            </w:r>
          </w:p>
        </w:tc>
      </w:tr>
      <w:tr>
        <w:tc>
          <w:tcPr>
            <w:tcW w:type="dxa" w:w="3744"/>
            <w:tcMar>
              <w:top w:w="80" w:type="dxa"/>
              <w:start w:w="100" w:type="dxa"/>
              <w:bottom w:w="80" w:type="dxa"/>
              <w:end w:w="100" w:type="dxa"/>
            </w:tcMar>
            <w:shd w:fill="F3F6FA"/>
            <w:vAlign w:val="top"/>
          </w:tcPr>
          <w:p>
            <w:pPr>
              <w:spacing w:after="0"/>
            </w:pPr>
            <w:r/>
            <w:r>
              <w:rPr>
                <w:rFonts w:ascii="Arial" w:hAnsi="Arial"/>
                <w:sz w:val="17"/>
              </w:rPr>
              <w:t>Tier 2 operational evidence</w:t>
            </w:r>
          </w:p>
        </w:tc>
        <w:tc>
          <w:tcPr>
            <w:tcW w:type="dxa" w:w="6480"/>
            <w:tcMar>
              <w:top w:w="80" w:type="dxa"/>
              <w:start w:w="100" w:type="dxa"/>
              <w:bottom w:w="80" w:type="dxa"/>
              <w:end w:w="100" w:type="dxa"/>
            </w:tcMar>
            <w:shd w:fill="F3F6FA"/>
            <w:vAlign w:val="top"/>
          </w:tcPr>
          <w:p>
            <w:pPr>
              <w:spacing w:after="0"/>
            </w:pPr>
            <w:r/>
            <w:r>
              <w:rPr>
                <w:rFonts w:ascii="Arial" w:hAnsi="Arial"/>
                <w:sz w:val="17"/>
              </w:rPr>
              <w:t>Retained, indicators revised</w:t>
            </w:r>
          </w:p>
        </w:tc>
      </w:tr>
      <w:tr>
        <w:tc>
          <w:tcPr>
            <w:tcW w:type="dxa" w:w="3744"/>
            <w:tcMar>
              <w:top w:w="80" w:type="dxa"/>
              <w:start w:w="100" w:type="dxa"/>
              <w:bottom w:w="80" w:type="dxa"/>
              <w:end w:w="100" w:type="dxa"/>
            </w:tcMar>
            <w:vAlign w:val="top"/>
          </w:tcPr>
          <w:p>
            <w:pPr>
              <w:spacing w:after="0"/>
            </w:pPr>
            <w:r/>
            <w:r>
              <w:rPr>
                <w:rFonts w:ascii="Arial" w:hAnsi="Arial"/>
                <w:sz w:val="17"/>
              </w:rPr>
              <w:t>Tier 3 interpretive layer</w:t>
            </w:r>
          </w:p>
        </w:tc>
        <w:tc>
          <w:tcPr>
            <w:tcW w:type="dxa" w:w="6480"/>
            <w:tcMar>
              <w:top w:w="80" w:type="dxa"/>
              <w:start w:w="100" w:type="dxa"/>
              <w:bottom w:w="80" w:type="dxa"/>
              <w:end w:w="100" w:type="dxa"/>
            </w:tcMar>
            <w:vAlign w:val="top"/>
          </w:tcPr>
          <w:p>
            <w:pPr>
              <w:spacing w:after="0"/>
            </w:pPr>
            <w:r/>
            <w:r>
              <w:rPr>
                <w:rFonts w:ascii="Arial" w:hAnsi="Arial"/>
                <w:sz w:val="17"/>
              </w:rPr>
              <w:t>Retained</w:t>
            </w:r>
          </w:p>
        </w:tc>
      </w:tr>
      <w:tr>
        <w:tc>
          <w:tcPr>
            <w:tcW w:type="dxa" w:w="3744"/>
            <w:tcMar>
              <w:top w:w="80" w:type="dxa"/>
              <w:start w:w="100" w:type="dxa"/>
              <w:bottom w:w="80" w:type="dxa"/>
              <w:end w:w="100" w:type="dxa"/>
            </w:tcMar>
            <w:shd w:fill="F3F6FA"/>
            <w:vAlign w:val="top"/>
          </w:tcPr>
          <w:p>
            <w:pPr>
              <w:spacing w:after="0"/>
            </w:pPr>
            <w:r/>
            <w:r>
              <w:rPr>
                <w:rFonts w:ascii="Arial" w:hAnsi="Arial"/>
                <w:sz w:val="17"/>
              </w:rPr>
              <w:t>Wealth-Diffusion Gate</w:t>
            </w:r>
          </w:p>
        </w:tc>
        <w:tc>
          <w:tcPr>
            <w:tcW w:type="dxa" w:w="6480"/>
            <w:tcMar>
              <w:top w:w="80" w:type="dxa"/>
              <w:start w:w="100" w:type="dxa"/>
              <w:bottom w:w="80" w:type="dxa"/>
              <w:end w:w="100" w:type="dxa"/>
            </w:tcMar>
            <w:shd w:fill="F3F6FA"/>
            <w:vAlign w:val="top"/>
          </w:tcPr>
          <w:p>
            <w:pPr>
              <w:spacing w:after="0"/>
            </w:pPr>
            <w:r/>
            <w:r>
              <w:rPr>
                <w:rFonts w:ascii="Arial" w:hAnsi="Arial"/>
                <w:sz w:val="17"/>
              </w:rPr>
              <w:t>Retained and strengthened</w:t>
            </w:r>
          </w:p>
        </w:tc>
      </w:tr>
      <w:tr>
        <w:tc>
          <w:tcPr>
            <w:tcW w:type="dxa" w:w="3744"/>
            <w:tcMar>
              <w:top w:w="80" w:type="dxa"/>
              <w:start w:w="100" w:type="dxa"/>
              <w:bottom w:w="80" w:type="dxa"/>
              <w:end w:w="100" w:type="dxa"/>
            </w:tcMar>
            <w:vAlign w:val="top"/>
          </w:tcPr>
          <w:p>
            <w:pPr>
              <w:spacing w:after="0"/>
            </w:pPr>
            <w:r/>
            <w:r>
              <w:rPr>
                <w:rFonts w:ascii="Arial" w:hAnsi="Arial"/>
                <w:sz w:val="17"/>
              </w:rPr>
              <w:t>Persistence requirement</w:t>
            </w:r>
          </w:p>
        </w:tc>
        <w:tc>
          <w:tcPr>
            <w:tcW w:type="dxa" w:w="6480"/>
            <w:tcMar>
              <w:top w:w="80" w:type="dxa"/>
              <w:start w:w="100" w:type="dxa"/>
              <w:bottom w:w="80" w:type="dxa"/>
              <w:end w:w="100" w:type="dxa"/>
            </w:tcMar>
            <w:vAlign w:val="top"/>
          </w:tcPr>
          <w:p>
            <w:pPr>
              <w:spacing w:after="0"/>
            </w:pPr>
            <w:r/>
            <w:r>
              <w:rPr>
                <w:rFonts w:ascii="Arial" w:hAnsi="Arial"/>
                <w:sz w:val="17"/>
              </w:rPr>
              <w:t>Retained</w:t>
            </w:r>
          </w:p>
        </w:tc>
      </w:tr>
      <w:tr>
        <w:tc>
          <w:tcPr>
            <w:tcW w:type="dxa" w:w="3744"/>
            <w:tcMar>
              <w:top w:w="80" w:type="dxa"/>
              <w:start w:w="100" w:type="dxa"/>
              <w:bottom w:w="80" w:type="dxa"/>
              <w:end w:w="100" w:type="dxa"/>
            </w:tcMar>
            <w:shd w:fill="F3F6FA"/>
            <w:vAlign w:val="top"/>
          </w:tcPr>
          <w:p>
            <w:pPr>
              <w:spacing w:after="0"/>
            </w:pPr>
            <w:r/>
            <w:r>
              <w:rPr>
                <w:rFonts w:ascii="Arial" w:hAnsi="Arial"/>
                <w:sz w:val="17"/>
              </w:rPr>
              <w:t>Corroboration requirement</w:t>
            </w:r>
          </w:p>
        </w:tc>
        <w:tc>
          <w:tcPr>
            <w:tcW w:type="dxa" w:w="6480"/>
            <w:tcMar>
              <w:top w:w="80" w:type="dxa"/>
              <w:start w:w="100" w:type="dxa"/>
              <w:bottom w:w="80" w:type="dxa"/>
              <w:end w:w="100" w:type="dxa"/>
            </w:tcMar>
            <w:shd w:fill="F3F6FA"/>
            <w:vAlign w:val="top"/>
          </w:tcPr>
          <w:p>
            <w:pPr>
              <w:spacing w:after="0"/>
            </w:pPr>
            <w:r/>
            <w:r>
              <w:rPr>
                <w:rFonts w:ascii="Arial" w:hAnsi="Arial"/>
                <w:sz w:val="17"/>
              </w:rPr>
              <w:t>Retained</w:t>
            </w:r>
          </w:p>
        </w:tc>
      </w:tr>
      <w:tr>
        <w:tc>
          <w:tcPr>
            <w:tcW w:type="dxa" w:w="3744"/>
            <w:tcMar>
              <w:top w:w="80" w:type="dxa"/>
              <w:start w:w="100" w:type="dxa"/>
              <w:bottom w:w="80" w:type="dxa"/>
              <w:end w:w="100" w:type="dxa"/>
            </w:tcMar>
            <w:vAlign w:val="top"/>
          </w:tcPr>
          <w:p>
            <w:pPr>
              <w:spacing w:after="0"/>
            </w:pPr>
            <w:r/>
            <w:r>
              <w:rPr>
                <w:rFonts w:ascii="Arial" w:hAnsi="Arial"/>
                <w:sz w:val="17"/>
              </w:rPr>
              <w:t>Bounded probability movement</w:t>
            </w:r>
          </w:p>
        </w:tc>
        <w:tc>
          <w:tcPr>
            <w:tcW w:type="dxa" w:w="6480"/>
            <w:tcMar>
              <w:top w:w="80" w:type="dxa"/>
              <w:start w:w="100" w:type="dxa"/>
              <w:bottom w:w="80" w:type="dxa"/>
              <w:end w:w="100" w:type="dxa"/>
            </w:tcMar>
            <w:vAlign w:val="top"/>
          </w:tcPr>
          <w:p>
            <w:pPr>
              <w:spacing w:after="0"/>
            </w:pPr>
            <w:r/>
            <w:r>
              <w:rPr>
                <w:rFonts w:ascii="Arial" w:hAnsi="Arial"/>
                <w:sz w:val="17"/>
              </w:rPr>
              <w:t>Retained</w:t>
            </w:r>
          </w:p>
        </w:tc>
      </w:tr>
      <w:tr>
        <w:tc>
          <w:tcPr>
            <w:tcW w:type="dxa" w:w="3744"/>
            <w:tcMar>
              <w:top w:w="80" w:type="dxa"/>
              <w:start w:w="100" w:type="dxa"/>
              <w:bottom w:w="80" w:type="dxa"/>
              <w:end w:w="100" w:type="dxa"/>
            </w:tcMar>
            <w:shd w:fill="F3F6FA"/>
            <w:vAlign w:val="top"/>
          </w:tcPr>
          <w:p>
            <w:pPr>
              <w:spacing w:after="0"/>
            </w:pPr>
            <w:r/>
            <w:r>
              <w:rPr>
                <w:rFonts w:ascii="Arial" w:hAnsi="Arial"/>
                <w:sz w:val="17"/>
              </w:rPr>
              <w:t>Symmetric reversion</w:t>
            </w:r>
          </w:p>
        </w:tc>
        <w:tc>
          <w:tcPr>
            <w:tcW w:type="dxa" w:w="6480"/>
            <w:tcMar>
              <w:top w:w="80" w:type="dxa"/>
              <w:start w:w="100" w:type="dxa"/>
              <w:bottom w:w="80" w:type="dxa"/>
              <w:end w:w="100" w:type="dxa"/>
            </w:tcMar>
            <w:shd w:fill="F3F6FA"/>
            <w:vAlign w:val="top"/>
          </w:tcPr>
          <w:p>
            <w:pPr>
              <w:spacing w:after="0"/>
            </w:pPr>
            <w:r/>
            <w:r>
              <w:rPr>
                <w:rFonts w:ascii="Arial" w:hAnsi="Arial"/>
                <w:sz w:val="17"/>
              </w:rPr>
              <w:t>Retained</w:t>
            </w:r>
          </w:p>
        </w:tc>
      </w:tr>
      <w:tr>
        <w:tc>
          <w:tcPr>
            <w:tcW w:type="dxa" w:w="3744"/>
            <w:tcMar>
              <w:top w:w="80" w:type="dxa"/>
              <w:start w:w="100" w:type="dxa"/>
              <w:bottom w:w="80" w:type="dxa"/>
              <w:end w:w="100" w:type="dxa"/>
            </w:tcMar>
            <w:vAlign w:val="top"/>
          </w:tcPr>
          <w:p>
            <w:pPr>
              <w:spacing w:after="0"/>
            </w:pPr>
            <w:r/>
            <w:r>
              <w:rPr>
                <w:rFonts w:ascii="Arial" w:hAnsi="Arial"/>
                <w:sz w:val="17"/>
              </w:rPr>
              <w:t>Public evidence only</w:t>
            </w:r>
          </w:p>
        </w:tc>
        <w:tc>
          <w:tcPr>
            <w:tcW w:type="dxa" w:w="6480"/>
            <w:tcMar>
              <w:top w:w="80" w:type="dxa"/>
              <w:start w:w="100" w:type="dxa"/>
              <w:bottom w:w="80" w:type="dxa"/>
              <w:end w:w="100" w:type="dxa"/>
            </w:tcMar>
            <w:vAlign w:val="top"/>
          </w:tcPr>
          <w:p>
            <w:pPr>
              <w:spacing w:after="0"/>
            </w:pPr>
            <w:r/>
            <w:r>
              <w:rPr>
                <w:rFonts w:ascii="Arial" w:hAnsi="Arial"/>
                <w:sz w:val="17"/>
              </w:rPr>
              <w:t>Retained</w:t>
            </w:r>
          </w:p>
        </w:tc>
      </w:tr>
      <w:tr>
        <w:tc>
          <w:tcPr>
            <w:tcW w:type="dxa" w:w="3744"/>
            <w:tcMar>
              <w:top w:w="80" w:type="dxa"/>
              <w:start w:w="100" w:type="dxa"/>
              <w:bottom w:w="80" w:type="dxa"/>
              <w:end w:w="100" w:type="dxa"/>
            </w:tcMar>
            <w:shd w:fill="F3F6FA"/>
            <w:vAlign w:val="top"/>
          </w:tcPr>
          <w:p>
            <w:pPr>
              <w:spacing w:after="0"/>
            </w:pPr>
            <w:r/>
            <w:r>
              <w:rPr>
                <w:rFonts w:ascii="Arial" w:hAnsi="Arial"/>
                <w:sz w:val="17"/>
              </w:rPr>
              <w:t>No private telemetry</w:t>
            </w:r>
          </w:p>
        </w:tc>
        <w:tc>
          <w:tcPr>
            <w:tcW w:type="dxa" w:w="6480"/>
            <w:tcMar>
              <w:top w:w="80" w:type="dxa"/>
              <w:start w:w="100" w:type="dxa"/>
              <w:bottom w:w="80" w:type="dxa"/>
              <w:end w:w="100" w:type="dxa"/>
            </w:tcMar>
            <w:shd w:fill="F3F6FA"/>
            <w:vAlign w:val="top"/>
          </w:tcPr>
          <w:p>
            <w:pPr>
              <w:spacing w:after="0"/>
            </w:pPr>
            <w:r/>
            <w:r>
              <w:rPr>
                <w:rFonts w:ascii="Arial" w:hAnsi="Arial"/>
                <w:sz w:val="17"/>
              </w:rPr>
              <w:t>Retained</w:t>
            </w:r>
          </w:p>
        </w:tc>
      </w:tr>
      <w:tr>
        <w:tc>
          <w:tcPr>
            <w:tcW w:type="dxa" w:w="3744"/>
            <w:tcMar>
              <w:top w:w="80" w:type="dxa"/>
              <w:start w:w="100" w:type="dxa"/>
              <w:bottom w:w="80" w:type="dxa"/>
              <w:end w:w="100" w:type="dxa"/>
            </w:tcMar>
            <w:vAlign w:val="top"/>
          </w:tcPr>
          <w:p>
            <w:pPr>
              <w:spacing w:after="0"/>
            </w:pPr>
            <w:r/>
            <w:r>
              <w:rPr>
                <w:rFonts w:ascii="Arial" w:hAnsi="Arial"/>
                <w:sz w:val="17"/>
              </w:rPr>
              <w:t>Versioned manifests and move logs</w:t>
            </w:r>
          </w:p>
        </w:tc>
        <w:tc>
          <w:tcPr>
            <w:tcW w:type="dxa" w:w="6480"/>
            <w:tcMar>
              <w:top w:w="80" w:type="dxa"/>
              <w:start w:w="100" w:type="dxa"/>
              <w:bottom w:w="80" w:type="dxa"/>
              <w:end w:w="100" w:type="dxa"/>
            </w:tcMar>
            <w:vAlign w:val="top"/>
          </w:tcPr>
          <w:p>
            <w:pPr>
              <w:spacing w:after="0"/>
            </w:pPr>
            <w:r/>
            <w:r>
              <w:rPr>
                <w:rFonts w:ascii="Arial" w:hAnsi="Arial"/>
                <w:sz w:val="17"/>
              </w:rPr>
              <w:t>Retained</w:t>
            </w:r>
          </w:p>
        </w:tc>
      </w:tr>
    </w:tbl>
    <w:p>
      <w:pPr>
        <w:spacing w:after="40"/>
      </w:pPr>
    </w:p>
    <w:p>
      <w:pPr>
        <w:spacing w:after="120" w:line="259" w:lineRule="auto"/>
      </w:pPr>
      <w:r>
        <w:rPr>
          <w:rFonts w:ascii="Arial" w:hAnsi="Arial"/>
        </w:rPr>
        <w:t>The philosophical and governance architecture established in the original Grey Swan paper therefore remains the foundation of v12.</w:t>
      </w:r>
    </w:p>
    <w:p>
      <w:pPr>
        <w:pStyle w:val="Heading1"/>
        <w:spacing w:after="120" w:line="259" w:lineRule="auto"/>
      </w:pPr>
      <w:r>
        <w:rPr>
          <w:rFonts w:ascii="Arial" w:hAnsi="Arial"/>
        </w:rPr>
        <w:t>3. Complexity constraint</w:t>
      </w:r>
    </w:p>
    <w:p>
      <w:pPr>
        <w:spacing w:after="120" w:line="259" w:lineRule="auto"/>
      </w:pPr>
      <w:r>
        <w:rPr>
          <w:rFonts w:ascii="Arial" w:hAnsi="Arial"/>
        </w:rPr>
        <w:t>The major safeguard against model inflation is a new architecture rule:</w:t>
      </w:r>
    </w:p>
    <w:p>
      <w:pPr>
        <w:spacing w:before="80" w:after="160"/>
        <w:ind w:left="504" w:right="504"/>
      </w:pPr>
      <w:r>
        <w:rPr>
          <w:rFonts w:ascii="Arial" w:hAnsi="Arial"/>
          <w:b/>
          <w:color w:val="17365D"/>
          <w:sz w:val="22"/>
        </w:rPr>
        <w:t>No Archimedes lever may contain more than two probability-moving Tier-2 indicator families.</w:t>
      </w:r>
    </w:p>
    <w:p>
      <w:pPr>
        <w:spacing w:after="120" w:line="259" w:lineRule="auto"/>
      </w:pPr>
      <w:r>
        <w:rPr>
          <w:rFonts w:ascii="Arial" w:hAnsi="Arial"/>
        </w:rPr>
        <w:t>Related measures within one family count as one evidential family, rather than multiple independent pieces of corroboration.</w:t>
      </w:r>
    </w:p>
    <w:p>
      <w:pPr>
        <w:spacing w:after="120" w:line="259" w:lineRule="auto"/>
      </w:pPr>
      <w:r>
        <w:rPr>
          <w:rFonts w:ascii="Arial" w:hAnsi="Arial"/>
        </w:rPr>
        <w:t>The target v12 configuration contains approximately ten core Tier-2 lever families across the six Archimedes levers. New indicators should normally replace weaker indicators rather than accumulate alongside them.</w:t>
      </w:r>
    </w:p>
    <w:p>
      <w:pPr>
        <w:spacing w:after="120" w:line="259" w:lineRule="auto"/>
      </w:pPr>
      <w:r>
        <w:rPr>
          <w:rFonts w:ascii="Arial" w:hAnsi="Arial"/>
        </w:rPr>
        <w:t>The intention is therefore to improve validity while keeping the recurring source burden broadly similar to v11.9.</w:t>
      </w:r>
    </w:p>
    <w:p>
      <w:pPr>
        <w:pStyle w:val="Heading1"/>
        <w:spacing w:after="120" w:line="259" w:lineRule="auto"/>
      </w:pPr>
      <w:r>
        <w:rPr>
          <w:rFonts w:ascii="Arial" w:hAnsi="Arial"/>
        </w:rPr>
        <w:t>4. Revised evidence architecture</w:t>
      </w:r>
    </w:p>
    <w:p>
      <w:pPr>
        <w:spacing w:after="120" w:line="259" w:lineRule="auto"/>
      </w:pPr>
      <w:r>
        <w:rPr>
          <w:rFonts w:ascii="Arial" w:hAnsi="Arial"/>
        </w:rPr>
        <w:t>v12 retains the four-tier structure but clarifies the role of each layer.</w:t>
      </w:r>
    </w:p>
    <w:p>
      <w:pPr>
        <w:pStyle w:val="Heading2"/>
        <w:spacing w:after="120" w:line="259" w:lineRule="auto"/>
      </w:pPr>
      <w:r>
        <w:rPr>
          <w:rFonts w:ascii="Arial" w:hAnsi="Arial"/>
        </w:rPr>
        <w:t>Tier 0: Rulebook</w:t>
      </w:r>
    </w:p>
    <w:p>
      <w:pPr>
        <w:spacing w:after="120" w:line="259" w:lineRule="auto"/>
      </w:pPr>
      <w:r>
        <w:rPr>
          <w:rFonts w:ascii="Arial" w:hAnsi="Arial"/>
        </w:rPr>
        <w:t>Unchanged. Tier 0 continues to govern persistence, corroboration, movement caps, evidence quality, reversion, Wealth-Diffusion Gate requirements, source governance and audit logging.</w:t>
      </w:r>
    </w:p>
    <w:p>
      <w:pPr>
        <w:pStyle w:val="Heading2"/>
        <w:spacing w:after="120" w:line="259" w:lineRule="auto"/>
      </w:pPr>
      <w:r>
        <w:rPr>
          <w:rFonts w:ascii="Arial" w:hAnsi="Arial"/>
        </w:rPr>
        <w:t>Tier 1: Structural conditions</w:t>
      </w:r>
    </w:p>
    <w:p>
      <w:pPr>
        <w:spacing w:after="120" w:line="259" w:lineRule="auto"/>
      </w:pPr>
      <w:r>
        <w:rPr>
          <w:rFonts w:ascii="Arial" w:hAnsi="Arial"/>
        </w:rPr>
        <w:t>Tier 1 describes the environment in which the six levers operate. v12 explicitly identifies four structural components:</w:t>
      </w:r>
    </w:p>
    <w:p>
      <w:pPr>
        <w:spacing w:after="40"/>
        <w:ind w:left="259" w:hanging="259"/>
      </w:pPr>
      <w:r>
        <w:rPr>
          <w:rFonts w:ascii="Arial" w:hAnsi="Arial"/>
        </w:rPr>
        <w:t>1.  Institutional Trust Basket</w:t>
      </w:r>
    </w:p>
    <w:p>
      <w:pPr>
        <w:spacing w:after="40"/>
        <w:ind w:left="259" w:hanging="259"/>
      </w:pPr>
      <w:r>
        <w:rPr>
          <w:rFonts w:ascii="Arial" w:hAnsi="Arial"/>
        </w:rPr>
        <w:t>2.  Macro Performance Panel</w:t>
      </w:r>
    </w:p>
    <w:p>
      <w:pPr>
        <w:spacing w:after="40"/>
        <w:ind w:left="259" w:hanging="259"/>
      </w:pPr>
      <w:r>
        <w:rPr>
          <w:rFonts w:ascii="Arial" w:hAnsi="Arial"/>
        </w:rPr>
        <w:t>3.  Climate constraint</w:t>
      </w:r>
    </w:p>
    <w:p>
      <w:pPr>
        <w:spacing w:after="40"/>
        <w:ind w:left="259" w:hanging="259"/>
      </w:pPr>
      <w:r>
        <w:rPr>
          <w:rFonts w:ascii="Arial" w:hAnsi="Arial"/>
        </w:rPr>
        <w:t>4.  Demographic and state-capacity anchors</w:t>
      </w:r>
    </w:p>
    <w:p>
      <w:pPr>
        <w:spacing w:after="120" w:line="259" w:lineRule="auto"/>
      </w:pPr>
      <w:r>
        <w:rPr>
          <w:rFonts w:ascii="Arial" w:hAnsi="Arial"/>
        </w:rPr>
        <w:t>Tier 1 normally influences interpretation, priors, posture assessment and thresholds rather than directly generating short-run probability nudges.</w:t>
      </w:r>
    </w:p>
    <w:p>
      <w:pPr>
        <w:pStyle w:val="Heading2"/>
        <w:spacing w:after="120" w:line="259" w:lineRule="auto"/>
      </w:pPr>
      <w:r>
        <w:rPr>
          <w:rFonts w:ascii="Arial" w:hAnsi="Arial"/>
        </w:rPr>
        <w:t>Tier 2: Operational levers</w:t>
      </w:r>
    </w:p>
    <w:p>
      <w:pPr>
        <w:spacing w:after="120" w:line="259" w:lineRule="auto"/>
      </w:pPr>
      <w:r>
        <w:rPr>
          <w:rFonts w:ascii="Arial" w:hAnsi="Arial"/>
        </w:rPr>
        <w:t>Tier 2 contains the small set of direct, public indicators capable of moving probabilities.</w:t>
      </w:r>
    </w:p>
    <w:p>
      <w:pPr>
        <w:pStyle w:val="Heading2"/>
        <w:spacing w:after="120" w:line="259" w:lineRule="auto"/>
      </w:pPr>
      <w:r>
        <w:rPr>
          <w:rFonts w:ascii="Arial" w:hAnsi="Arial"/>
        </w:rPr>
        <w:t>Tier 3: Interpretation and development</w:t>
      </w:r>
    </w:p>
    <w:p>
      <w:pPr>
        <w:spacing w:after="120" w:line="259" w:lineRule="auto"/>
      </w:pPr>
      <w:r>
        <w:rPr>
          <w:rFonts w:ascii="Arial" w:hAnsi="Arial"/>
        </w:rPr>
        <w:t>Tier 3 remains the location for case evidence, emerging research, country and sector applications, candidate indicators, and qualitative developments not yet measurable at sufficient quality. Tier 3 cannot move probabilities.</w:t>
      </w:r>
    </w:p>
    <w:p>
      <w:pPr>
        <w:pStyle w:val="Heading1"/>
        <w:spacing w:after="120" w:line="259" w:lineRule="auto"/>
      </w:pPr>
      <w:r>
        <w:rPr>
          <w:rFonts w:ascii="Arial" w:hAnsi="Arial"/>
        </w:rPr>
        <w:t>5. Evidence cadence</w:t>
      </w:r>
    </w:p>
    <w:p>
      <w:pPr>
        <w:spacing w:after="120" w:line="259" w:lineRule="auto"/>
      </w:pPr>
      <w:r>
        <w:rPr>
          <w:rFonts w:ascii="Arial" w:hAnsi="Arial"/>
        </w:rPr>
        <w:t>v12 removes the implicit assumption that all useful indicators should update quarterly.</w:t>
      </w:r>
    </w:p>
    <w:tbl>
      <w:tblPr>
        <w:tblStyle w:val="TableGrid"/>
        <w:tblW w:type="auto" w:w="0"/>
        <w:jc w:val="center"/>
        <w:tblLayout w:type="autofit"/>
        <w:tblLook w:firstColumn="1" w:firstRow="1" w:lastColumn="0" w:lastRow="0" w:noHBand="0" w:noVBand="1" w:val="04A0"/>
      </w:tblPr>
      <w:tblGrid>
        <w:gridCol w:w="5040"/>
        <w:gridCol w:w="5040"/>
      </w:tblGrid>
      <w:tr>
        <w:trPr>
          <w:tblHeader w:val="true"/>
        </w:trPr>
        <w:tc>
          <w:tcPr>
            <w:tcW w:type="dxa" w:w="3168"/>
            <w:shd w:fill="17365D"/>
            <w:tcMar>
              <w:top w:w="80" w:type="dxa"/>
              <w:start w:w="100" w:type="dxa"/>
              <w:bottom w:w="80" w:type="dxa"/>
              <w:end w:w="100" w:type="dxa"/>
            </w:tcMar>
            <w:vAlign w:val="center"/>
          </w:tcPr>
          <w:p>
            <w:pPr>
              <w:jc w:val="left"/>
            </w:pPr>
            <w:r/>
            <w:r>
              <w:rPr>
                <w:rFonts w:ascii="Arial" w:hAnsi="Arial"/>
                <w:b/>
                <w:color w:val="FFFFFF"/>
                <w:sz w:val="17"/>
              </w:rPr>
              <w:t>Type</w:t>
            </w:r>
          </w:p>
        </w:tc>
        <w:tc>
          <w:tcPr>
            <w:tcW w:type="dxa" w:w="6912"/>
            <w:shd w:fill="17365D"/>
            <w:tcMar>
              <w:top w:w="80" w:type="dxa"/>
              <w:start w:w="100" w:type="dxa"/>
              <w:bottom w:w="80" w:type="dxa"/>
              <w:end w:w="100" w:type="dxa"/>
            </w:tcMar>
            <w:vAlign w:val="center"/>
          </w:tcPr>
          <w:p>
            <w:pPr>
              <w:jc w:val="left"/>
            </w:pPr>
            <w:r/>
            <w:r>
              <w:rPr>
                <w:rFonts w:ascii="Arial" w:hAnsi="Arial"/>
                <w:b/>
                <w:color w:val="FFFFFF"/>
                <w:sz w:val="17"/>
              </w:rPr>
              <w:t>Typical cadence</w:t>
            </w:r>
          </w:p>
        </w:tc>
      </w:tr>
      <w:tr>
        <w:tc>
          <w:tcPr>
            <w:tcW w:type="dxa" w:w="3168"/>
            <w:tcMar>
              <w:top w:w="80" w:type="dxa"/>
              <w:start w:w="100" w:type="dxa"/>
              <w:bottom w:w="80" w:type="dxa"/>
              <w:end w:w="100" w:type="dxa"/>
            </w:tcMar>
            <w:vAlign w:val="top"/>
          </w:tcPr>
          <w:p>
            <w:pPr>
              <w:spacing w:after="0"/>
            </w:pPr>
            <w:r/>
            <w:r>
              <w:rPr>
                <w:rFonts w:ascii="Arial" w:hAnsi="Arial"/>
                <w:sz w:val="17"/>
              </w:rPr>
              <w:t>Fast</w:t>
            </w:r>
          </w:p>
        </w:tc>
        <w:tc>
          <w:tcPr>
            <w:tcW w:type="dxa" w:w="6912"/>
            <w:tcMar>
              <w:top w:w="80" w:type="dxa"/>
              <w:start w:w="100" w:type="dxa"/>
              <w:bottom w:w="80" w:type="dxa"/>
              <w:end w:w="100" w:type="dxa"/>
            </w:tcMar>
            <w:vAlign w:val="top"/>
          </w:tcPr>
          <w:p>
            <w:pPr>
              <w:spacing w:after="0"/>
            </w:pPr>
            <w:r/>
            <w:r>
              <w:rPr>
                <w:rFonts w:ascii="Arial" w:hAnsi="Arial"/>
                <w:sz w:val="17"/>
              </w:rPr>
              <w:t>Monthly to quarterly</w:t>
            </w:r>
          </w:p>
        </w:tc>
      </w:tr>
      <w:tr>
        <w:tc>
          <w:tcPr>
            <w:tcW w:type="dxa" w:w="3168"/>
            <w:tcMar>
              <w:top w:w="80" w:type="dxa"/>
              <w:start w:w="100" w:type="dxa"/>
              <w:bottom w:w="80" w:type="dxa"/>
              <w:end w:w="100" w:type="dxa"/>
            </w:tcMar>
            <w:shd w:fill="F3F6FA"/>
            <w:vAlign w:val="top"/>
          </w:tcPr>
          <w:p>
            <w:pPr>
              <w:spacing w:after="0"/>
            </w:pPr>
            <w:r/>
            <w:r>
              <w:rPr>
                <w:rFonts w:ascii="Arial" w:hAnsi="Arial"/>
                <w:sz w:val="17"/>
              </w:rPr>
              <w:t>Medium</w:t>
            </w:r>
          </w:p>
        </w:tc>
        <w:tc>
          <w:tcPr>
            <w:tcW w:type="dxa" w:w="6912"/>
            <w:tcMar>
              <w:top w:w="80" w:type="dxa"/>
              <w:start w:w="100" w:type="dxa"/>
              <w:bottom w:w="80" w:type="dxa"/>
              <w:end w:w="100" w:type="dxa"/>
            </w:tcMar>
            <w:shd w:fill="F3F6FA"/>
            <w:vAlign w:val="top"/>
          </w:tcPr>
          <w:p>
            <w:pPr>
              <w:spacing w:after="0"/>
            </w:pPr>
            <w:r/>
            <w:r>
              <w:rPr>
                <w:rFonts w:ascii="Arial" w:hAnsi="Arial"/>
                <w:sz w:val="17"/>
              </w:rPr>
              <w:t>Quarterly to semiannual</w:t>
            </w:r>
          </w:p>
        </w:tc>
      </w:tr>
      <w:tr>
        <w:tc>
          <w:tcPr>
            <w:tcW w:type="dxa" w:w="3168"/>
            <w:tcMar>
              <w:top w:w="80" w:type="dxa"/>
              <w:start w:w="100" w:type="dxa"/>
              <w:bottom w:w="80" w:type="dxa"/>
              <w:end w:w="100" w:type="dxa"/>
            </w:tcMar>
            <w:vAlign w:val="top"/>
          </w:tcPr>
          <w:p>
            <w:pPr>
              <w:spacing w:after="0"/>
            </w:pPr>
            <w:r/>
            <w:r>
              <w:rPr>
                <w:rFonts w:ascii="Arial" w:hAnsi="Arial"/>
                <w:sz w:val="17"/>
              </w:rPr>
              <w:t>Slow operational</w:t>
            </w:r>
          </w:p>
        </w:tc>
        <w:tc>
          <w:tcPr>
            <w:tcW w:type="dxa" w:w="6912"/>
            <w:tcMar>
              <w:top w:w="80" w:type="dxa"/>
              <w:start w:w="100" w:type="dxa"/>
              <w:bottom w:w="80" w:type="dxa"/>
              <w:end w:w="100" w:type="dxa"/>
            </w:tcMar>
            <w:vAlign w:val="top"/>
          </w:tcPr>
          <w:p>
            <w:pPr>
              <w:spacing w:after="0"/>
            </w:pPr>
            <w:r/>
            <w:r>
              <w:rPr>
                <w:rFonts w:ascii="Arial" w:hAnsi="Arial"/>
                <w:sz w:val="17"/>
              </w:rPr>
              <w:t>Annual or survey-cycle</w:t>
            </w:r>
          </w:p>
        </w:tc>
      </w:tr>
    </w:tbl>
    <w:p>
      <w:pPr>
        <w:spacing w:after="40"/>
      </w:pPr>
    </w:p>
    <w:p>
      <w:pPr>
        <w:spacing w:after="120" w:line="259" w:lineRule="auto"/>
      </w:pPr>
      <w:r>
        <w:rPr>
          <w:rFonts w:ascii="Arial" w:hAnsi="Arial"/>
        </w:rPr>
        <w:t>The Grey Swan model itself should operate on a six-month Spring/Autumn run cycle.</w:t>
      </w:r>
    </w:p>
    <w:p>
      <w:pPr>
        <w:spacing w:after="120" w:line="259" w:lineRule="auto"/>
      </w:pPr>
      <w:r>
        <w:rPr>
          <w:rFonts w:ascii="Arial" w:hAnsi="Arial"/>
        </w:rPr>
        <w:t>At each run:</w:t>
      </w:r>
    </w:p>
    <w:p>
      <w:pPr>
        <w:pStyle w:val="ListBullet"/>
        <w:spacing w:after="40" w:line="252" w:lineRule="auto"/>
      </w:pPr>
      <w:r>
        <w:rPr>
          <w:rFonts w:ascii="Arial" w:hAnsi="Arial"/>
        </w:rPr>
        <w:t>every registered source is checked;</w:t>
      </w:r>
    </w:p>
    <w:p>
      <w:pPr>
        <w:pStyle w:val="ListBullet"/>
        <w:spacing w:after="40" w:line="252" w:lineRule="auto"/>
      </w:pPr>
      <w:r>
        <w:rPr>
          <w:rFonts w:ascii="Arial" w:hAnsi="Arial"/>
        </w:rPr>
        <w:t>new eligible vintages are incorporated;</w:t>
      </w:r>
    </w:p>
    <w:p>
      <w:pPr>
        <w:pStyle w:val="ListBullet"/>
        <w:spacing w:after="40" w:line="252" w:lineRule="auto"/>
      </w:pPr>
      <w:r>
        <w:rPr>
          <w:rFonts w:ascii="Arial" w:hAnsi="Arial"/>
        </w:rPr>
        <w:t>no new vintage means no new information;</w:t>
      </w:r>
    </w:p>
    <w:p>
      <w:pPr>
        <w:pStyle w:val="ListBullet"/>
        <w:spacing w:after="40" w:line="252" w:lineRule="auto"/>
      </w:pPr>
      <w:r>
        <w:rPr>
          <w:rFonts w:ascii="Arial" w:hAnsi="Arial"/>
        </w:rPr>
        <w:t>missing observations are not imputed;</w:t>
      </w:r>
    </w:p>
    <w:p>
      <w:pPr>
        <w:pStyle w:val="ListBullet"/>
        <w:spacing w:after="40" w:line="252" w:lineRule="auto"/>
      </w:pPr>
      <w:r>
        <w:rPr>
          <w:rFonts w:ascii="Arial" w:hAnsi="Arial"/>
        </w:rPr>
        <w:t>persistence is assessed across eligible observations rather than artificially across calendar periods.</w:t>
      </w:r>
    </w:p>
    <w:p>
      <w:pPr>
        <w:spacing w:after="120" w:line="259" w:lineRule="auto"/>
      </w:pPr>
      <w:r>
        <w:rPr>
          <w:rFonts w:ascii="Arial" w:hAnsi="Arial"/>
        </w:rPr>
        <w:t>This permits direct measures of education, institutional trust and health preparedness to remain in the model even when they update more slowly.</w:t>
      </w:r>
    </w:p>
    <w:p>
      <w:pPr>
        <w:pStyle w:val="Heading1"/>
        <w:spacing w:after="120" w:line="259" w:lineRule="auto"/>
      </w:pPr>
      <w:r>
        <w:rPr>
          <w:rFonts w:ascii="Arial" w:hAnsi="Arial"/>
        </w:rPr>
        <w:t>6. Structural Trust Basket restored</w:t>
      </w:r>
    </w:p>
    <w:p>
      <w:pPr>
        <w:spacing w:after="120" w:line="259" w:lineRule="auto"/>
      </w:pPr>
      <w:r>
        <w:rPr>
          <w:rFonts w:ascii="Arial" w:hAnsi="Arial"/>
        </w:rPr>
        <w:t>v12 explicitly restores the institutional-trust architecture that formed part of the original Grey Swan Tier-1 environment. The purpose is to distinguish structural institutional trust from AI-era information integrity and accountability.</w:t>
      </w:r>
    </w:p>
    <w:p>
      <w:pPr>
        <w:spacing w:after="120" w:line="259" w:lineRule="auto"/>
      </w:pPr>
      <w:r>
        <w:rPr>
          <w:rFonts w:ascii="Arial" w:hAnsi="Arial"/>
        </w:rPr>
        <w:t>The former asks whether institutions remain effective, legitimate, clean and trusted enough to govern. The latter asks whether the mechanisms necessary for accountable AI deployment are actually being implemented.</w:t>
      </w:r>
    </w:p>
    <w:p>
      <w:pPr>
        <w:pStyle w:val="Heading2"/>
        <w:spacing w:after="120" w:line="259" w:lineRule="auto"/>
      </w:pPr>
      <w:r>
        <w:rPr>
          <w:rFonts w:ascii="Arial" w:hAnsi="Arial"/>
        </w:rPr>
        <w:t>6.1 Structural Trust Basket</w:t>
      </w:r>
    </w:p>
    <w:tbl>
      <w:tblPr>
        <w:tblStyle w:val="TableGrid"/>
        <w:tblW w:type="auto" w:w="0"/>
        <w:jc w:val="center"/>
        <w:tblLayout w:type="autofit"/>
        <w:tblLook w:firstColumn="1" w:firstRow="1" w:lastColumn="0" w:lastRow="0" w:noHBand="0" w:noVBand="1" w:val="04A0"/>
      </w:tblPr>
      <w:tblGrid>
        <w:gridCol w:w="3360"/>
        <w:gridCol w:w="3360"/>
        <w:gridCol w:w="3360"/>
      </w:tblGrid>
      <w:tr>
        <w:trPr>
          <w:tblHeader w:val="true"/>
        </w:trPr>
        <w:tc>
          <w:tcPr>
            <w:tcW w:type="dxa" w:w="2880"/>
            <w:shd w:fill="17365D"/>
            <w:tcMar>
              <w:top w:w="80" w:type="dxa"/>
              <w:start w:w="100" w:type="dxa"/>
              <w:bottom w:w="80" w:type="dxa"/>
              <w:end w:w="100" w:type="dxa"/>
            </w:tcMar>
            <w:vAlign w:val="center"/>
          </w:tcPr>
          <w:p>
            <w:pPr>
              <w:jc w:val="left"/>
            </w:pPr>
            <w:r/>
            <w:r>
              <w:rPr>
                <w:rFonts w:ascii="Arial" w:hAnsi="Arial"/>
                <w:b/>
                <w:color w:val="FFFFFF"/>
                <w:sz w:val="17"/>
              </w:rPr>
              <w:t>Dimension</w:t>
            </w:r>
          </w:p>
        </w:tc>
        <w:tc>
          <w:tcPr>
            <w:tcW w:type="dxa" w:w="3312"/>
            <w:shd w:fill="17365D"/>
            <w:tcMar>
              <w:top w:w="80" w:type="dxa"/>
              <w:start w:w="100" w:type="dxa"/>
              <w:bottom w:w="80" w:type="dxa"/>
              <w:end w:w="100" w:type="dxa"/>
            </w:tcMar>
            <w:vAlign w:val="center"/>
          </w:tcPr>
          <w:p>
            <w:pPr>
              <w:jc w:val="left"/>
            </w:pPr>
            <w:r/>
            <w:r>
              <w:rPr>
                <w:rFonts w:ascii="Arial" w:hAnsi="Arial"/>
                <w:b/>
                <w:color w:val="FFFFFF"/>
                <w:sz w:val="17"/>
              </w:rPr>
              <w:t>Measure</w:t>
            </w:r>
          </w:p>
        </w:tc>
        <w:tc>
          <w:tcPr>
            <w:tcW w:type="dxa" w:w="4320"/>
            <w:shd w:fill="17365D"/>
            <w:tcMar>
              <w:top w:w="80" w:type="dxa"/>
              <w:start w:w="100" w:type="dxa"/>
              <w:bottom w:w="80" w:type="dxa"/>
              <w:end w:w="100" w:type="dxa"/>
            </w:tcMar>
            <w:vAlign w:val="center"/>
          </w:tcPr>
          <w:p>
            <w:pPr>
              <w:jc w:val="left"/>
            </w:pPr>
            <w:r/>
            <w:r>
              <w:rPr>
                <w:rFonts w:ascii="Arial" w:hAnsi="Arial"/>
                <w:b/>
                <w:color w:val="FFFFFF"/>
                <w:sz w:val="17"/>
              </w:rPr>
              <w:t>Primary source</w:t>
            </w:r>
          </w:p>
        </w:tc>
      </w:tr>
      <w:tr>
        <w:tc>
          <w:tcPr>
            <w:tcW w:type="dxa" w:w="2880"/>
            <w:tcMar>
              <w:top w:w="80" w:type="dxa"/>
              <w:start w:w="100" w:type="dxa"/>
              <w:bottom w:w="80" w:type="dxa"/>
              <w:end w:w="100" w:type="dxa"/>
            </w:tcMar>
            <w:vAlign w:val="top"/>
          </w:tcPr>
          <w:p>
            <w:pPr>
              <w:spacing w:after="0"/>
            </w:pPr>
            <w:r/>
            <w:r>
              <w:rPr>
                <w:rFonts w:ascii="Arial" w:hAnsi="Arial"/>
                <w:sz w:val="17"/>
              </w:rPr>
              <w:t>Institutional effectiveness</w:t>
            </w:r>
          </w:p>
        </w:tc>
        <w:tc>
          <w:tcPr>
            <w:tcW w:type="dxa" w:w="3312"/>
            <w:tcMar>
              <w:top w:w="80" w:type="dxa"/>
              <w:start w:w="100" w:type="dxa"/>
              <w:bottom w:w="80" w:type="dxa"/>
              <w:end w:w="100" w:type="dxa"/>
            </w:tcMar>
            <w:vAlign w:val="top"/>
          </w:tcPr>
          <w:p>
            <w:pPr>
              <w:spacing w:after="0"/>
            </w:pPr>
            <w:r/>
            <w:r>
              <w:rPr>
                <w:rFonts w:ascii="Arial" w:hAnsi="Arial"/>
                <w:sz w:val="17"/>
              </w:rPr>
              <w:t>Government Effectiveness</w:t>
            </w:r>
          </w:p>
        </w:tc>
        <w:tc>
          <w:tcPr>
            <w:tcW w:type="dxa" w:w="4320"/>
            <w:tcMar>
              <w:top w:w="80" w:type="dxa"/>
              <w:start w:w="100" w:type="dxa"/>
              <w:bottom w:w="80" w:type="dxa"/>
              <w:end w:w="100" w:type="dxa"/>
            </w:tcMar>
            <w:vAlign w:val="top"/>
          </w:tcPr>
          <w:p>
            <w:pPr>
              <w:spacing w:after="0"/>
            </w:pPr>
            <w:r/>
            <w:r>
              <w:rPr>
                <w:rFonts w:ascii="Arial" w:hAnsi="Arial"/>
                <w:sz w:val="17"/>
              </w:rPr>
              <w:t>World Bank Worldwide Governance Indicators</w:t>
            </w:r>
          </w:p>
        </w:tc>
      </w:tr>
      <w:tr>
        <w:tc>
          <w:tcPr>
            <w:tcW w:type="dxa" w:w="2880"/>
            <w:tcMar>
              <w:top w:w="80" w:type="dxa"/>
              <w:start w:w="100" w:type="dxa"/>
              <w:bottom w:w="80" w:type="dxa"/>
              <w:end w:w="100" w:type="dxa"/>
            </w:tcMar>
            <w:shd w:fill="F3F6FA"/>
            <w:vAlign w:val="top"/>
          </w:tcPr>
          <w:p>
            <w:pPr>
              <w:spacing w:after="0"/>
            </w:pPr>
            <w:r/>
            <w:r>
              <w:rPr>
                <w:rFonts w:ascii="Arial" w:hAnsi="Arial"/>
                <w:sz w:val="17"/>
              </w:rPr>
              <w:t>Public integrity</w:t>
            </w:r>
          </w:p>
        </w:tc>
        <w:tc>
          <w:tcPr>
            <w:tcW w:type="dxa" w:w="3312"/>
            <w:tcMar>
              <w:top w:w="80" w:type="dxa"/>
              <w:start w:w="100" w:type="dxa"/>
              <w:bottom w:w="80" w:type="dxa"/>
              <w:end w:w="100" w:type="dxa"/>
            </w:tcMar>
            <w:shd w:fill="F3F6FA"/>
            <w:vAlign w:val="top"/>
          </w:tcPr>
          <w:p>
            <w:pPr>
              <w:spacing w:after="0"/>
            </w:pPr>
            <w:r/>
            <w:r>
              <w:rPr>
                <w:rFonts w:ascii="Arial" w:hAnsi="Arial"/>
                <w:sz w:val="17"/>
              </w:rPr>
              <w:t>Corruption Perceptions Index</w:t>
            </w:r>
          </w:p>
        </w:tc>
        <w:tc>
          <w:tcPr>
            <w:tcW w:type="dxa" w:w="4320"/>
            <w:tcMar>
              <w:top w:w="80" w:type="dxa"/>
              <w:start w:w="100" w:type="dxa"/>
              <w:bottom w:w="80" w:type="dxa"/>
              <w:end w:w="100" w:type="dxa"/>
            </w:tcMar>
            <w:shd w:fill="F3F6FA"/>
            <w:vAlign w:val="top"/>
          </w:tcPr>
          <w:p>
            <w:pPr>
              <w:spacing w:after="0"/>
            </w:pPr>
            <w:r/>
            <w:r>
              <w:rPr>
                <w:rFonts w:ascii="Arial" w:hAnsi="Arial"/>
                <w:sz w:val="17"/>
              </w:rPr>
              <w:t>Transparency International</w:t>
            </w:r>
          </w:p>
        </w:tc>
      </w:tr>
      <w:tr>
        <w:tc>
          <w:tcPr>
            <w:tcW w:type="dxa" w:w="2880"/>
            <w:tcMar>
              <w:top w:w="80" w:type="dxa"/>
              <w:start w:w="100" w:type="dxa"/>
              <w:bottom w:w="80" w:type="dxa"/>
              <w:end w:w="100" w:type="dxa"/>
            </w:tcMar>
            <w:vAlign w:val="top"/>
          </w:tcPr>
          <w:p>
            <w:pPr>
              <w:spacing w:after="0"/>
            </w:pPr>
            <w:r/>
            <w:r>
              <w:rPr>
                <w:rFonts w:ascii="Arial" w:hAnsi="Arial"/>
                <w:sz w:val="17"/>
              </w:rPr>
              <w:t>Political/civic legitimacy</w:t>
            </w:r>
          </w:p>
        </w:tc>
        <w:tc>
          <w:tcPr>
            <w:tcW w:type="dxa" w:w="3312"/>
            <w:tcMar>
              <w:top w:w="80" w:type="dxa"/>
              <w:start w:w="100" w:type="dxa"/>
              <w:bottom w:w="80" w:type="dxa"/>
              <w:end w:w="100" w:type="dxa"/>
            </w:tcMar>
            <w:vAlign w:val="top"/>
          </w:tcPr>
          <w:p>
            <w:pPr>
              <w:spacing w:after="0"/>
            </w:pPr>
            <w:r/>
            <w:r>
              <w:rPr>
                <w:rFonts w:ascii="Arial" w:hAnsi="Arial"/>
                <w:sz w:val="17"/>
              </w:rPr>
              <w:t>Freedom in the World</w:t>
            </w:r>
          </w:p>
        </w:tc>
        <w:tc>
          <w:tcPr>
            <w:tcW w:type="dxa" w:w="4320"/>
            <w:tcMar>
              <w:top w:w="80" w:type="dxa"/>
              <w:start w:w="100" w:type="dxa"/>
              <w:bottom w:w="80" w:type="dxa"/>
              <w:end w:w="100" w:type="dxa"/>
            </w:tcMar>
            <w:vAlign w:val="top"/>
          </w:tcPr>
          <w:p>
            <w:pPr>
              <w:spacing w:after="0"/>
            </w:pPr>
            <w:r/>
            <w:r>
              <w:rPr>
                <w:rFonts w:ascii="Arial" w:hAnsi="Arial"/>
                <w:sz w:val="17"/>
              </w:rPr>
              <w:t>Freedom House</w:t>
            </w:r>
          </w:p>
        </w:tc>
      </w:tr>
      <w:tr>
        <w:tc>
          <w:tcPr>
            <w:tcW w:type="dxa" w:w="2880"/>
            <w:tcMar>
              <w:top w:w="80" w:type="dxa"/>
              <w:start w:w="100" w:type="dxa"/>
              <w:bottom w:w="80" w:type="dxa"/>
              <w:end w:w="100" w:type="dxa"/>
            </w:tcMar>
            <w:shd w:fill="F3F6FA"/>
            <w:vAlign w:val="top"/>
          </w:tcPr>
          <w:p>
            <w:pPr>
              <w:spacing w:after="0"/>
            </w:pPr>
            <w:r/>
            <w:r>
              <w:rPr>
                <w:rFonts w:ascii="Arial" w:hAnsi="Arial"/>
                <w:sz w:val="17"/>
              </w:rPr>
              <w:t>Expressed institutional trust</w:t>
            </w:r>
          </w:p>
        </w:tc>
        <w:tc>
          <w:tcPr>
            <w:tcW w:type="dxa" w:w="3312"/>
            <w:tcMar>
              <w:top w:w="80" w:type="dxa"/>
              <w:start w:w="100" w:type="dxa"/>
              <w:bottom w:w="80" w:type="dxa"/>
              <w:end w:w="100" w:type="dxa"/>
            </w:tcMar>
            <w:shd w:fill="F3F6FA"/>
            <w:vAlign w:val="top"/>
          </w:tcPr>
          <w:p>
            <w:pPr>
              <w:spacing w:after="0"/>
            </w:pPr>
            <w:r/>
            <w:r>
              <w:rPr>
                <w:rFonts w:ascii="Arial" w:hAnsi="Arial"/>
                <w:sz w:val="17"/>
              </w:rPr>
              <w:t>Confidence in national government / major institutions</w:t>
            </w:r>
          </w:p>
        </w:tc>
        <w:tc>
          <w:tcPr>
            <w:tcW w:type="dxa" w:w="4320"/>
            <w:tcMar>
              <w:top w:w="80" w:type="dxa"/>
              <w:start w:w="100" w:type="dxa"/>
              <w:bottom w:w="80" w:type="dxa"/>
              <w:end w:w="100" w:type="dxa"/>
            </w:tcMar>
            <w:shd w:fill="F3F6FA"/>
            <w:vAlign w:val="top"/>
          </w:tcPr>
          <w:p>
            <w:pPr>
              <w:spacing w:after="0"/>
            </w:pPr>
            <w:r/>
            <w:r>
              <w:rPr>
                <w:rFonts w:ascii="Arial" w:hAnsi="Arial"/>
                <w:sz w:val="17"/>
              </w:rPr>
              <w:t>Public Gallup World Poll aggregates, including OECD-published Gallup series</w:t>
            </w:r>
          </w:p>
        </w:tc>
      </w:tr>
    </w:tbl>
    <w:p>
      <w:pPr>
        <w:spacing w:after="40"/>
      </w:pPr>
    </w:p>
    <w:p>
      <w:pPr>
        <w:spacing w:after="120" w:line="259" w:lineRule="auto"/>
      </w:pPr>
      <w:r>
        <w:rPr>
          <w:rFonts w:ascii="Arial" w:hAnsi="Arial"/>
        </w:rPr>
        <w:t>Gallup replaces Edelman where reproducible public aggregates are available because it provides much broader geographic coverage. No proprietary Gallup microdata will be used.</w:t>
      </w:r>
    </w:p>
    <w:p>
      <w:pPr>
        <w:spacing w:after="120" w:line="259" w:lineRule="auto"/>
      </w:pPr>
      <w:r>
        <w:rPr>
          <w:rFonts w:ascii="Arial" w:hAnsi="Arial"/>
        </w:rPr>
        <w:t>The four measures are not combined into a synthetic Trust Index. They form a corroborating basket. Persistent deterioration across several components signals structural institutional weakening. Broad improvement requires similarly corroborated movement. The basket updates slowly and therefore remains Tier 1.</w:t>
      </w:r>
    </w:p>
    <w:p>
      <w:pPr>
        <w:pStyle w:val="Heading1"/>
        <w:spacing w:after="120" w:line="259" w:lineRule="auto"/>
      </w:pPr>
      <w:r>
        <w:rPr>
          <w:rFonts w:ascii="Arial" w:hAnsi="Arial"/>
        </w:rPr>
        <w:t>7. Macro Performance Panel</w:t>
      </w:r>
    </w:p>
    <w:p>
      <w:pPr>
        <w:spacing w:after="120" w:line="259" w:lineRule="auto"/>
      </w:pPr>
      <w:r>
        <w:rPr>
          <w:rFonts w:ascii="Arial" w:hAnsi="Arial"/>
        </w:rPr>
        <w:t>v12 makes economic performance explicitly visible. This addresses a legitimate potential criticism of Grey Swan: a model concerned with the economic and social consequences of AI should not appear to treat economic growth and productivity as peripheral.</w:t>
      </w:r>
    </w:p>
    <w:p>
      <w:pPr>
        <w:ind w:left="504" w:right="504"/>
      </w:pPr>
      <w:r>
        <w:rPr>
          <w:rFonts w:ascii="Arial" w:hAnsi="Arial"/>
          <w:b/>
          <w:color w:val="17365D"/>
          <w:sz w:val="22"/>
        </w:rPr>
        <w:t>Growth and productivity are necessary components of broad prosperity, but they are not equivalent to empowerment.</w:t>
      </w:r>
    </w:p>
    <w:p>
      <w:pPr>
        <w:spacing w:after="120" w:line="259" w:lineRule="auto"/>
      </w:pPr>
      <w:r>
        <w:rPr>
          <w:rFonts w:ascii="Arial" w:hAnsi="Arial"/>
        </w:rPr>
        <w:t>Three indicators form the Macro Performance Panel.</w:t>
      </w:r>
    </w:p>
    <w:tbl>
      <w:tblPr>
        <w:tblStyle w:val="TableGrid"/>
        <w:tblW w:type="auto" w:w="0"/>
        <w:jc w:val="center"/>
        <w:tblLayout w:type="autofit"/>
        <w:tblLook w:firstColumn="1" w:firstRow="1" w:lastColumn="0" w:lastRow="0" w:noHBand="0" w:noVBand="1" w:val="04A0"/>
      </w:tblPr>
      <w:tblGrid>
        <w:gridCol w:w="3360"/>
        <w:gridCol w:w="3360"/>
        <w:gridCol w:w="3360"/>
      </w:tblGrid>
      <w:tr>
        <w:trPr>
          <w:tblHeader w:val="true"/>
        </w:trPr>
        <w:tc>
          <w:tcPr>
            <w:tcW w:type="dxa" w:w="2880"/>
            <w:shd w:fill="17365D"/>
            <w:tcMar>
              <w:top w:w="80" w:type="dxa"/>
              <w:start w:w="100" w:type="dxa"/>
              <w:bottom w:w="80" w:type="dxa"/>
              <w:end w:w="100" w:type="dxa"/>
            </w:tcMar>
            <w:vAlign w:val="center"/>
          </w:tcPr>
          <w:p>
            <w:pPr>
              <w:jc w:val="left"/>
            </w:pPr>
            <w:r/>
            <w:r>
              <w:rPr>
                <w:rFonts w:ascii="Arial" w:hAnsi="Arial"/>
                <w:b/>
                <w:color w:val="FFFFFF"/>
                <w:sz w:val="17"/>
              </w:rPr>
              <w:t>Measure</w:t>
            </w:r>
          </w:p>
        </w:tc>
        <w:tc>
          <w:tcPr>
            <w:tcW w:type="dxa" w:w="3456"/>
            <w:shd w:fill="17365D"/>
            <w:tcMar>
              <w:top w:w="80" w:type="dxa"/>
              <w:start w:w="100" w:type="dxa"/>
              <w:bottom w:w="80" w:type="dxa"/>
              <w:end w:w="100" w:type="dxa"/>
            </w:tcMar>
            <w:vAlign w:val="center"/>
          </w:tcPr>
          <w:p>
            <w:pPr>
              <w:jc w:val="left"/>
            </w:pPr>
            <w:r/>
            <w:r>
              <w:rPr>
                <w:rFonts w:ascii="Arial" w:hAnsi="Arial"/>
                <w:b/>
                <w:color w:val="FFFFFF"/>
                <w:sz w:val="17"/>
              </w:rPr>
              <w:t>Primary source</w:t>
            </w:r>
          </w:p>
        </w:tc>
        <w:tc>
          <w:tcPr>
            <w:tcW w:type="dxa" w:w="4032"/>
            <w:shd w:fill="17365D"/>
            <w:tcMar>
              <w:top w:w="80" w:type="dxa"/>
              <w:start w:w="100" w:type="dxa"/>
              <w:bottom w:w="80" w:type="dxa"/>
              <w:end w:w="100" w:type="dxa"/>
            </w:tcMar>
            <w:vAlign w:val="center"/>
          </w:tcPr>
          <w:p>
            <w:pPr>
              <w:jc w:val="left"/>
            </w:pPr>
            <w:r/>
            <w:r>
              <w:rPr>
                <w:rFonts w:ascii="Arial" w:hAnsi="Arial"/>
                <w:b/>
                <w:color w:val="FFFFFF"/>
                <w:sz w:val="17"/>
              </w:rPr>
              <w:t>Purpose</w:t>
            </w:r>
          </w:p>
        </w:tc>
      </w:tr>
      <w:tr>
        <w:tc>
          <w:tcPr>
            <w:tcW w:type="dxa" w:w="2880"/>
            <w:tcMar>
              <w:top w:w="80" w:type="dxa"/>
              <w:start w:w="100" w:type="dxa"/>
              <w:bottom w:w="80" w:type="dxa"/>
              <w:end w:w="100" w:type="dxa"/>
            </w:tcMar>
            <w:vAlign w:val="top"/>
          </w:tcPr>
          <w:p>
            <w:pPr>
              <w:spacing w:after="0"/>
            </w:pPr>
            <w:r/>
            <w:r>
              <w:rPr>
                <w:rFonts w:ascii="Arial" w:hAnsi="Arial"/>
                <w:sz w:val="17"/>
              </w:rPr>
              <w:t>Real GDP growth</w:t>
            </w:r>
          </w:p>
        </w:tc>
        <w:tc>
          <w:tcPr>
            <w:tcW w:type="dxa" w:w="3456"/>
            <w:tcMar>
              <w:top w:w="80" w:type="dxa"/>
              <w:start w:w="100" w:type="dxa"/>
              <w:bottom w:w="80" w:type="dxa"/>
              <w:end w:w="100" w:type="dxa"/>
            </w:tcMar>
            <w:vAlign w:val="top"/>
          </w:tcPr>
          <w:p>
            <w:pPr>
              <w:spacing w:after="0"/>
            </w:pPr>
            <w:r/>
            <w:r>
              <w:rPr>
                <w:rFonts w:ascii="Arial" w:hAnsi="Arial"/>
                <w:sz w:val="17"/>
              </w:rPr>
              <w:t>IMF World Economic Outlook</w:t>
            </w:r>
          </w:p>
        </w:tc>
        <w:tc>
          <w:tcPr>
            <w:tcW w:type="dxa" w:w="4032"/>
            <w:tcMar>
              <w:top w:w="80" w:type="dxa"/>
              <w:start w:w="100" w:type="dxa"/>
              <w:bottom w:w="80" w:type="dxa"/>
              <w:end w:w="100" w:type="dxa"/>
            </w:tcMar>
            <w:vAlign w:val="top"/>
          </w:tcPr>
          <w:p>
            <w:pPr>
              <w:spacing w:after="0"/>
            </w:pPr>
            <w:r/>
            <w:r>
              <w:rPr>
                <w:rFonts w:ascii="Arial" w:hAnsi="Arial"/>
                <w:sz w:val="17"/>
              </w:rPr>
              <w:t>Aggregate economic expansion</w:t>
            </w:r>
          </w:p>
        </w:tc>
      </w:tr>
      <w:tr>
        <w:tc>
          <w:tcPr>
            <w:tcW w:type="dxa" w:w="2880"/>
            <w:tcMar>
              <w:top w:w="80" w:type="dxa"/>
              <w:start w:w="100" w:type="dxa"/>
              <w:bottom w:w="80" w:type="dxa"/>
              <w:end w:w="100" w:type="dxa"/>
            </w:tcMar>
            <w:shd w:fill="F3F6FA"/>
            <w:vAlign w:val="top"/>
          </w:tcPr>
          <w:p>
            <w:pPr>
              <w:spacing w:after="0"/>
            </w:pPr>
            <w:r/>
            <w:r>
              <w:rPr>
                <w:rFonts w:ascii="Arial" w:hAnsi="Arial"/>
                <w:sz w:val="17"/>
              </w:rPr>
              <w:t>Real GDP per capita growth</w:t>
            </w:r>
          </w:p>
        </w:tc>
        <w:tc>
          <w:tcPr>
            <w:tcW w:type="dxa" w:w="3456"/>
            <w:tcMar>
              <w:top w:w="80" w:type="dxa"/>
              <w:start w:w="100" w:type="dxa"/>
              <w:bottom w:w="80" w:type="dxa"/>
              <w:end w:w="100" w:type="dxa"/>
            </w:tcMar>
            <w:shd w:fill="F3F6FA"/>
            <w:vAlign w:val="top"/>
          </w:tcPr>
          <w:p>
            <w:pPr>
              <w:spacing w:after="0"/>
            </w:pPr>
            <w:r/>
            <w:r>
              <w:rPr>
                <w:rFonts w:ascii="Arial" w:hAnsi="Arial"/>
                <w:sz w:val="17"/>
              </w:rPr>
              <w:t>IMF / World Bank</w:t>
            </w:r>
          </w:p>
        </w:tc>
        <w:tc>
          <w:tcPr>
            <w:tcW w:type="dxa" w:w="4032"/>
            <w:tcMar>
              <w:top w:w="80" w:type="dxa"/>
              <w:start w:w="100" w:type="dxa"/>
              <w:bottom w:w="80" w:type="dxa"/>
              <w:end w:w="100" w:type="dxa"/>
            </w:tcMar>
            <w:shd w:fill="F3F6FA"/>
            <w:vAlign w:val="top"/>
          </w:tcPr>
          <w:p>
            <w:pPr>
              <w:spacing w:after="0"/>
            </w:pPr>
            <w:r/>
            <w:r>
              <w:rPr>
                <w:rFonts w:ascii="Arial" w:hAnsi="Arial"/>
                <w:sz w:val="17"/>
              </w:rPr>
              <w:t>Whether aggregate gains exceed population growth</w:t>
            </w:r>
          </w:p>
        </w:tc>
      </w:tr>
      <w:tr>
        <w:tc>
          <w:tcPr>
            <w:tcW w:type="dxa" w:w="2880"/>
            <w:tcMar>
              <w:top w:w="80" w:type="dxa"/>
              <w:start w:w="100" w:type="dxa"/>
              <w:bottom w:w="80" w:type="dxa"/>
              <w:end w:w="100" w:type="dxa"/>
            </w:tcMar>
            <w:vAlign w:val="top"/>
          </w:tcPr>
          <w:p>
            <w:pPr>
              <w:spacing w:after="0"/>
            </w:pPr>
            <w:r/>
            <w:r>
              <w:rPr>
                <w:rFonts w:ascii="Arial" w:hAnsi="Arial"/>
                <w:sz w:val="17"/>
              </w:rPr>
              <w:t>Labor productivity growth</w:t>
            </w:r>
          </w:p>
        </w:tc>
        <w:tc>
          <w:tcPr>
            <w:tcW w:type="dxa" w:w="3456"/>
            <w:tcMar>
              <w:top w:w="80" w:type="dxa"/>
              <w:start w:w="100" w:type="dxa"/>
              <w:bottom w:w="80" w:type="dxa"/>
              <w:end w:w="100" w:type="dxa"/>
            </w:tcMar>
            <w:vAlign w:val="top"/>
          </w:tcPr>
          <w:p>
            <w:pPr>
              <w:spacing w:after="0"/>
            </w:pPr>
            <w:r/>
            <w:r>
              <w:rPr>
                <w:rFonts w:ascii="Arial" w:hAnsi="Arial"/>
                <w:sz w:val="17"/>
              </w:rPr>
              <w:t>ILOSTAT SDG 8.2.1</w:t>
            </w:r>
          </w:p>
        </w:tc>
        <w:tc>
          <w:tcPr>
            <w:tcW w:type="dxa" w:w="4032"/>
            <w:tcMar>
              <w:top w:w="80" w:type="dxa"/>
              <w:start w:w="100" w:type="dxa"/>
              <w:bottom w:w="80" w:type="dxa"/>
              <w:end w:w="100" w:type="dxa"/>
            </w:tcMar>
            <w:vAlign w:val="top"/>
          </w:tcPr>
          <w:p>
            <w:pPr>
              <w:spacing w:after="0"/>
            </w:pPr>
            <w:r/>
            <w:r>
              <w:rPr>
                <w:rFonts w:ascii="Arial" w:hAnsi="Arial"/>
                <w:sz w:val="17"/>
              </w:rPr>
              <w:t>Whether output per worker is improving</w:t>
            </w:r>
          </w:p>
        </w:tc>
      </w:tr>
    </w:tbl>
    <w:p>
      <w:pPr>
        <w:spacing w:after="40"/>
      </w:pPr>
    </w:p>
    <w:p>
      <w:pPr>
        <w:spacing w:after="120" w:line="259" w:lineRule="auto"/>
      </w:pPr>
      <w:r>
        <w:rPr>
          <w:rFonts w:ascii="Arial" w:hAnsi="Arial"/>
        </w:rPr>
        <w:t>Total factor productivity is deliberately excluded from the core panel because of its greater methodological complexity, estimation uncertainty and limited global comparability. The Macro Performance Panel is reported explicitly in every v12 run.</w:t>
      </w:r>
    </w:p>
    <w:p>
      <w:pPr>
        <w:pStyle w:val="Heading1"/>
        <w:spacing w:after="120" w:line="259" w:lineRule="auto"/>
      </w:pPr>
      <w:r>
        <w:rPr>
          <w:rFonts w:ascii="Arial" w:hAnsi="Arial"/>
        </w:rPr>
        <w:t>8. Growth-Diffusion Test</w:t>
      </w:r>
    </w:p>
    <w:p>
      <w:pPr>
        <w:spacing w:after="120" w:line="259" w:lineRule="auto"/>
      </w:pPr>
      <w:r>
        <w:rPr>
          <w:rFonts w:ascii="Arial" w:hAnsi="Arial"/>
        </w:rPr>
        <w:t>The Macro Performance Panel is interpreted jointly with the Wealth-Diffusion Gate and Participation Stress Flag. This produces four analytically distinct states.</w:t>
      </w:r>
    </w:p>
    <w:tbl>
      <w:tblPr>
        <w:tblStyle w:val="TableGrid"/>
        <w:tblW w:type="auto" w:w="0"/>
        <w:jc w:val="center"/>
        <w:tblLayout w:type="autofit"/>
        <w:tblLook w:firstColumn="1" w:firstRow="1" w:lastColumn="0" w:lastRow="0" w:noHBand="0" w:noVBand="1" w:val="04A0"/>
      </w:tblPr>
      <w:tblGrid>
        <w:gridCol w:w="3360"/>
        <w:gridCol w:w="3360"/>
        <w:gridCol w:w="3360"/>
      </w:tblGrid>
      <w:tr>
        <w:trPr>
          <w:tblHeader w:val="true"/>
        </w:trPr>
        <w:tc>
          <w:tcPr>
            <w:tcW w:type="dxa" w:w="2880"/>
            <w:shd w:fill="17365D"/>
            <w:tcMar>
              <w:top w:w="80" w:type="dxa"/>
              <w:start w:w="100" w:type="dxa"/>
              <w:bottom w:w="80" w:type="dxa"/>
              <w:end w:w="100" w:type="dxa"/>
            </w:tcMar>
            <w:vAlign w:val="center"/>
          </w:tcPr>
          <w:p>
            <w:pPr>
              <w:jc w:val="left"/>
            </w:pPr>
            <w:r/>
            <w:r>
              <w:rPr>
                <w:rFonts w:ascii="Arial" w:hAnsi="Arial"/>
                <w:b/>
                <w:color w:val="FFFFFF"/>
                <w:sz w:val="17"/>
              </w:rPr>
            </w:r>
          </w:p>
        </w:tc>
        <w:tc>
          <w:tcPr>
            <w:tcW w:type="dxa" w:w="3744"/>
            <w:shd w:fill="17365D"/>
            <w:tcMar>
              <w:top w:w="80" w:type="dxa"/>
              <w:start w:w="100" w:type="dxa"/>
              <w:bottom w:w="80" w:type="dxa"/>
              <w:end w:w="100" w:type="dxa"/>
            </w:tcMar>
            <w:vAlign w:val="center"/>
          </w:tcPr>
          <w:p>
            <w:pPr>
              <w:jc w:val="left"/>
            </w:pPr>
            <w:r/>
            <w:r>
              <w:rPr>
                <w:rFonts w:ascii="Arial" w:hAnsi="Arial"/>
                <w:b/>
                <w:color w:val="FFFFFF"/>
                <w:sz w:val="17"/>
              </w:rPr>
              <w:t>Diffusion improving</w:t>
            </w:r>
          </w:p>
        </w:tc>
        <w:tc>
          <w:tcPr>
            <w:tcW w:type="dxa" w:w="4032"/>
            <w:shd w:fill="17365D"/>
            <w:tcMar>
              <w:top w:w="80" w:type="dxa"/>
              <w:start w:w="100" w:type="dxa"/>
              <w:bottom w:w="80" w:type="dxa"/>
              <w:end w:w="100" w:type="dxa"/>
            </w:tcMar>
            <w:vAlign w:val="center"/>
          </w:tcPr>
          <w:p>
            <w:pPr>
              <w:jc w:val="left"/>
            </w:pPr>
            <w:r/>
            <w:r>
              <w:rPr>
                <w:rFonts w:ascii="Arial" w:hAnsi="Arial"/>
                <w:b/>
                <w:color w:val="FFFFFF"/>
                <w:sz w:val="17"/>
              </w:rPr>
              <w:t>Diffusion weak or worsening</w:t>
            </w:r>
          </w:p>
        </w:tc>
      </w:tr>
      <w:tr>
        <w:tc>
          <w:tcPr>
            <w:tcW w:type="dxa" w:w="2880"/>
            <w:tcMar>
              <w:top w:w="80" w:type="dxa"/>
              <w:start w:w="100" w:type="dxa"/>
              <w:bottom w:w="80" w:type="dxa"/>
              <w:end w:w="100" w:type="dxa"/>
            </w:tcMar>
            <w:vAlign w:val="top"/>
          </w:tcPr>
          <w:p>
            <w:pPr>
              <w:spacing w:after="0"/>
            </w:pPr>
            <w:r/>
            <w:r>
              <w:rPr>
                <w:rFonts w:ascii="Arial" w:hAnsi="Arial"/>
                <w:sz w:val="17"/>
              </w:rPr>
              <w:t>Growth/productivity strong</w:t>
            </w:r>
          </w:p>
        </w:tc>
        <w:tc>
          <w:tcPr>
            <w:tcW w:type="dxa" w:w="3744"/>
            <w:tcMar>
              <w:top w:w="80" w:type="dxa"/>
              <w:start w:w="100" w:type="dxa"/>
              <w:bottom w:w="80" w:type="dxa"/>
              <w:end w:w="100" w:type="dxa"/>
            </w:tcMar>
            <w:vAlign w:val="top"/>
          </w:tcPr>
          <w:p>
            <w:pPr>
              <w:spacing w:after="0"/>
            </w:pPr>
            <w:r/>
            <w:r>
              <w:rPr>
                <w:rFonts w:ascii="Arial" w:hAnsi="Arial"/>
                <w:sz w:val="17"/>
              </w:rPr>
              <w:t>Broadening prosperity</w:t>
            </w:r>
          </w:p>
        </w:tc>
        <w:tc>
          <w:tcPr>
            <w:tcW w:type="dxa" w:w="4032"/>
            <w:tcMar>
              <w:top w:w="80" w:type="dxa"/>
              <w:start w:w="100" w:type="dxa"/>
              <w:bottom w:w="80" w:type="dxa"/>
              <w:end w:w="100" w:type="dxa"/>
            </w:tcMar>
            <w:vAlign w:val="top"/>
          </w:tcPr>
          <w:p>
            <w:pPr>
              <w:spacing w:after="0"/>
            </w:pPr>
            <w:r/>
            <w:r>
              <w:rPr>
                <w:rFonts w:ascii="Arial" w:hAnsi="Arial"/>
                <w:sz w:val="17"/>
              </w:rPr>
              <w:t>Concentrated growth</w:t>
            </w:r>
          </w:p>
        </w:tc>
      </w:tr>
      <w:tr>
        <w:tc>
          <w:tcPr>
            <w:tcW w:type="dxa" w:w="2880"/>
            <w:tcMar>
              <w:top w:w="80" w:type="dxa"/>
              <w:start w:w="100" w:type="dxa"/>
              <w:bottom w:w="80" w:type="dxa"/>
              <w:end w:w="100" w:type="dxa"/>
            </w:tcMar>
            <w:shd w:fill="F3F6FA"/>
            <w:vAlign w:val="top"/>
          </w:tcPr>
          <w:p>
            <w:pPr>
              <w:spacing w:after="0"/>
            </w:pPr>
            <w:r/>
            <w:r>
              <w:rPr>
                <w:rFonts w:ascii="Arial" w:hAnsi="Arial"/>
                <w:sz w:val="17"/>
              </w:rPr>
              <w:t>Growth/productivity weak</w:t>
            </w:r>
          </w:p>
        </w:tc>
        <w:tc>
          <w:tcPr>
            <w:tcW w:type="dxa" w:w="3744"/>
            <w:tcMar>
              <w:top w:w="80" w:type="dxa"/>
              <w:start w:w="100" w:type="dxa"/>
              <w:bottom w:w="80" w:type="dxa"/>
              <w:end w:w="100" w:type="dxa"/>
            </w:tcMar>
            <w:shd w:fill="F3F6FA"/>
            <w:vAlign w:val="top"/>
          </w:tcPr>
          <w:p>
            <w:pPr>
              <w:spacing w:after="0"/>
            </w:pPr>
            <w:r/>
            <w:r>
              <w:rPr>
                <w:rFonts w:ascii="Arial" w:hAnsi="Arial"/>
                <w:sz w:val="17"/>
              </w:rPr>
              <w:t>Distribution without sufficient productive engine</w:t>
            </w:r>
          </w:p>
        </w:tc>
        <w:tc>
          <w:tcPr>
            <w:tcW w:type="dxa" w:w="4032"/>
            <w:tcMar>
              <w:top w:w="80" w:type="dxa"/>
              <w:start w:w="100" w:type="dxa"/>
              <w:bottom w:w="80" w:type="dxa"/>
              <w:end w:w="100" w:type="dxa"/>
            </w:tcMar>
            <w:shd w:fill="F3F6FA"/>
            <w:vAlign w:val="top"/>
          </w:tcPr>
          <w:p>
            <w:pPr>
              <w:spacing w:after="0"/>
            </w:pPr>
            <w:r/>
            <w:r>
              <w:rPr>
                <w:rFonts w:ascii="Arial" w:hAnsi="Arial"/>
                <w:sz w:val="17"/>
              </w:rPr>
              <w:t>Systemic deterioration</w:t>
            </w:r>
          </w:p>
        </w:tc>
      </w:tr>
    </w:tbl>
    <w:p>
      <w:pPr>
        <w:spacing w:after="40"/>
      </w:pPr>
    </w:p>
    <w:p>
      <w:pPr>
        <w:pStyle w:val="Heading2"/>
        <w:spacing w:after="120" w:line="259" w:lineRule="auto"/>
      </w:pPr>
      <w:r>
        <w:rPr>
          <w:rFonts w:ascii="Arial" w:hAnsi="Arial"/>
        </w:rPr>
        <w:t>Broadening prosperity</w:t>
      </w:r>
    </w:p>
    <w:p>
      <w:pPr>
        <w:spacing w:after="120" w:line="259" w:lineRule="auto"/>
      </w:pPr>
      <w:r>
        <w:rPr>
          <w:rFonts w:ascii="Arial" w:hAnsi="Arial"/>
        </w:rPr>
        <w:t>Strong growth/productivity plus improving participation and distribution provides evidence compatible with MD moving toward FE.</w:t>
      </w:r>
    </w:p>
    <w:p>
      <w:pPr>
        <w:pStyle w:val="Heading2"/>
        <w:spacing w:after="120" w:line="259" w:lineRule="auto"/>
      </w:pPr>
      <w:r>
        <w:rPr>
          <w:rFonts w:ascii="Arial" w:hAnsi="Arial"/>
        </w:rPr>
        <w:t>Concentrated growth</w:t>
      </w:r>
    </w:p>
    <w:p>
      <w:pPr>
        <w:spacing w:after="120" w:line="259" w:lineRule="auto"/>
      </w:pPr>
      <w:r>
        <w:rPr>
          <w:rFonts w:ascii="Arial" w:hAnsi="Arial"/>
        </w:rPr>
        <w:t>Strong productivity alongside worsening labor share, household insecurity or inequality is not treated as empowerment. It is compatible with UT and potentially with a strongly LIR political economy.</w:t>
      </w:r>
    </w:p>
    <w:p>
      <w:pPr>
        <w:pStyle w:val="Heading2"/>
        <w:spacing w:after="120" w:line="259" w:lineRule="auto"/>
      </w:pPr>
      <w:r>
        <w:rPr>
          <w:rFonts w:ascii="Arial" w:hAnsi="Arial"/>
        </w:rPr>
        <w:t>Distribution without productive engine</w:t>
      </w:r>
    </w:p>
    <w:p>
      <w:pPr>
        <w:spacing w:after="120" w:line="259" w:lineRule="auto"/>
      </w:pPr>
      <w:r>
        <w:rPr>
          <w:rFonts w:ascii="Arial" w:hAnsi="Arial"/>
        </w:rPr>
        <w:t>Improved distribution in a stagnant economy may improve resilience but does not itself represent a sustainable FE trajectory.</w:t>
      </w:r>
    </w:p>
    <w:p>
      <w:pPr>
        <w:pStyle w:val="Heading2"/>
        <w:spacing w:after="120" w:line="259" w:lineRule="auto"/>
      </w:pPr>
      <w:r>
        <w:rPr>
          <w:rFonts w:ascii="Arial" w:hAnsi="Arial"/>
        </w:rPr>
        <w:t>Systemic deterioration</w:t>
      </w:r>
    </w:p>
    <w:p>
      <w:pPr>
        <w:spacing w:after="120" w:line="259" w:lineRule="auto"/>
      </w:pPr>
      <w:r>
        <w:rPr>
          <w:rFonts w:ascii="Arial" w:hAnsi="Arial"/>
        </w:rPr>
        <w:t>Weak productivity plus weak diffusion provides stronger evidence toward LC.</w:t>
      </w:r>
    </w:p>
    <w:p>
      <w:pPr>
        <w:spacing w:after="120" w:line="259" w:lineRule="auto"/>
      </w:pPr>
      <w:r>
        <w:rPr>
          <w:rFonts w:ascii="Arial" w:hAnsi="Arial"/>
        </w:rPr>
        <w:t>The purpose of the test is to prevent either of two analytical errors: treating GDP growth as sufficient evidence of success; or treating growth as irrelevant to social outcomes.</w:t>
      </w:r>
    </w:p>
    <w:p>
      <w:pPr>
        <w:pStyle w:val="Heading1"/>
        <w:spacing w:after="120" w:line="259" w:lineRule="auto"/>
      </w:pPr>
      <w:r>
        <w:rPr>
          <w:rFonts w:ascii="Arial" w:hAnsi="Arial"/>
        </w:rPr>
        <w:t>9. Energy and grids</w:t>
      </w:r>
    </w:p>
    <w:p>
      <w:pPr>
        <w:spacing w:after="120" w:line="259" w:lineRule="auto"/>
      </w:pPr>
      <w:r>
        <w:rPr>
          <w:rFonts w:ascii="Arial" w:hAnsi="Arial"/>
        </w:rPr>
        <w:t>v11.9 relied partly on nighttime-light anomalies and partly on operator measures of grid stress. v12 aligns measurement more directly with the substantive definition already contained in Grey Swan.</w:t>
      </w:r>
    </w:p>
    <w:p>
      <w:pPr>
        <w:pStyle w:val="Heading2"/>
        <w:spacing w:after="120" w:line="259" w:lineRule="auto"/>
      </w:pPr>
      <w:r>
        <w:rPr>
          <w:rFonts w:ascii="Arial" w:hAnsi="Arial"/>
        </w:rPr>
        <w:t>E1. Grid access and constraint</w:t>
      </w:r>
    </w:p>
    <w:p>
      <w:pPr>
        <w:spacing w:after="120" w:line="259" w:lineRule="auto"/>
      </w:pPr>
      <w:r>
        <w:rPr>
          <w:rFonts w:ascii="Arial" w:hAnsi="Arial"/>
        </w:rPr>
        <w:t>Possible components include connection delays/queues, curtailment, load shedding and scarcity events.</w:t>
      </w:r>
    </w:p>
    <w:p>
      <w:pPr>
        <w:pStyle w:val="Heading2"/>
        <w:spacing w:after="120" w:line="259" w:lineRule="auto"/>
      </w:pPr>
      <w:r>
        <w:rPr>
          <w:rFonts w:ascii="Arial" w:hAnsi="Arial"/>
        </w:rPr>
        <w:t>E2. System adequacy and resilience</w:t>
      </w:r>
    </w:p>
    <w:p>
      <w:pPr>
        <w:spacing w:after="120" w:line="259" w:lineRule="auto"/>
      </w:pPr>
      <w:r>
        <w:rPr>
          <w:rFonts w:ascii="Arial" w:hAnsi="Arial"/>
        </w:rPr>
        <w:t>A fixed sentinel panel of major grid systems assesses whether flexible capacity and system adequacy are keeping pace with demand growth. Likely sources remain ENTSO-E, US EIA/NERC, AEMO, GRID-India and selected comparable operators. IEA remains the Tier-1 global energy anchor.</w:t>
      </w:r>
    </w:p>
    <w:p>
      <w:pPr>
        <w:spacing w:after="120" w:line="259" w:lineRule="auto"/>
      </w:pPr>
      <w:r>
        <w:rPr>
          <w:rFonts w:ascii="Arial" w:hAnsi="Arial"/>
        </w:rPr>
        <w:t>Nighttime lights move to Tier 3/fallback status. The concept remains delivered, reliable, affordable and resilient power, rather than capacity announcements alone.</w:t>
      </w:r>
    </w:p>
    <w:p>
      <w:pPr>
        <w:pStyle w:val="Heading1"/>
        <w:spacing w:after="120" w:line="259" w:lineRule="auto"/>
      </w:pPr>
      <w:r>
        <w:rPr>
          <w:rFonts w:ascii="Arial" w:hAnsi="Arial"/>
        </w:rPr>
        <w:t>10. Health security and workforce</w:t>
      </w:r>
    </w:p>
    <w:p>
      <w:pPr>
        <w:spacing w:after="120" w:line="259" w:lineRule="auto"/>
      </w:pPr>
      <w:r>
        <w:rPr>
          <w:rFonts w:ascii="Arial" w:hAnsi="Arial"/>
        </w:rPr>
        <w:t>v12 separates disease burden from system capability.</w:t>
      </w:r>
    </w:p>
    <w:p>
      <w:pPr>
        <w:pStyle w:val="Heading2"/>
        <w:spacing w:after="120" w:line="259" w:lineRule="auto"/>
      </w:pPr>
      <w:r>
        <w:rPr>
          <w:rFonts w:ascii="Arial" w:hAnsi="Arial"/>
        </w:rPr>
        <w:t>H1. Surveillance continuity and coverage</w:t>
      </w:r>
    </w:p>
    <w:p>
      <w:pPr>
        <w:spacing w:after="120" w:line="259" w:lineRule="auto"/>
      </w:pPr>
      <w:r>
        <w:rPr>
          <w:rFonts w:ascii="Arial" w:hAnsi="Arial"/>
        </w:rPr>
        <w:t>Primary source: WHO FluNet / GISRS. The relevant question becomes whether international surveillance remains capable of detecting change, rather than whether influenza happens to be high or low in a particular period.</w:t>
      </w:r>
    </w:p>
    <w:p>
      <w:pPr>
        <w:pStyle w:val="Heading2"/>
        <w:spacing w:after="120" w:line="259" w:lineRule="auto"/>
      </w:pPr>
      <w:r>
        <w:rPr>
          <w:rFonts w:ascii="Arial" w:hAnsi="Arial"/>
        </w:rPr>
        <w:t>H2. Preparedness capacity</w:t>
      </w:r>
    </w:p>
    <w:p>
      <w:pPr>
        <w:spacing w:after="120" w:line="259" w:lineRule="auto"/>
      </w:pPr>
      <w:r>
        <w:rPr>
          <w:rFonts w:ascii="Arial" w:hAnsi="Arial"/>
        </w:rPr>
        <w:t>Primary source: WHO IHR State Party Self-Assessment Annual Reporting (SPAR). This provides a slow operational measure of national preparedness capacity. Health workforce evidence from WHO National Health Workforce Accounts can provide Tier-1 or corroborating context.</w:t>
      </w:r>
    </w:p>
    <w:p>
      <w:pPr>
        <w:spacing w:after="120" w:line="259" w:lineRule="auto"/>
      </w:pPr>
      <w:r>
        <w:rPr>
          <w:rFonts w:ascii="Arial" w:hAnsi="Arial"/>
        </w:rPr>
        <w:t>Influenza positivity and excess mortality remain useful shock/context indicators, but do not directly establish improvement in system capability.</w:t>
      </w:r>
    </w:p>
    <w:p>
      <w:pPr>
        <w:pStyle w:val="Heading1"/>
        <w:spacing w:after="120" w:line="259" w:lineRule="auto"/>
      </w:pPr>
      <w:r>
        <w:rPr>
          <w:rFonts w:ascii="Arial" w:hAnsi="Arial"/>
        </w:rPr>
        <w:t>11. Education and skills</w:t>
      </w:r>
    </w:p>
    <w:p>
      <w:pPr>
        <w:spacing w:after="120" w:line="259" w:lineRule="auto"/>
      </w:pPr>
      <w:r>
        <w:rPr>
          <w:rFonts w:ascii="Arial" w:hAnsi="Arial"/>
        </w:rPr>
        <w:t>The education lever is deliberately simplified.</w:t>
      </w:r>
    </w:p>
    <w:p>
      <w:pPr>
        <w:pStyle w:val="Heading2"/>
        <w:spacing w:after="120" w:line="259" w:lineRule="auto"/>
      </w:pPr>
      <w:r>
        <w:rPr>
          <w:rFonts w:ascii="Arial" w:hAnsi="Arial"/>
        </w:rPr>
        <w:t>ED1. Educator AI capability and meaningful use</w:t>
      </w:r>
    </w:p>
    <w:p>
      <w:pPr>
        <w:spacing w:after="120" w:line="259" w:lineRule="auto"/>
      </w:pPr>
      <w:r>
        <w:rPr>
          <w:rFonts w:ascii="Arial" w:hAnsi="Arial"/>
        </w:rPr>
        <w:t>Primary source: OECD TALIS. This measures actual educator use and capability more directly than research-system activity.</w:t>
      </w:r>
    </w:p>
    <w:p>
      <w:pPr>
        <w:pStyle w:val="Heading2"/>
        <w:spacing w:after="120" w:line="259" w:lineRule="auto"/>
      </w:pPr>
      <w:r>
        <w:rPr>
          <w:rFonts w:ascii="Arial" w:hAnsi="Arial"/>
        </w:rPr>
        <w:t>Reclassification</w:t>
      </w:r>
    </w:p>
    <w:p>
      <w:pPr>
        <w:pStyle w:val="ListBullet"/>
        <w:spacing w:after="40" w:line="252" w:lineRule="auto"/>
      </w:pPr>
      <w:r>
        <w:rPr>
          <w:rFonts w:ascii="Arial" w:hAnsi="Arial"/>
        </w:rPr>
        <w:t>School internet access: Tier 1 structural access measure.</w:t>
      </w:r>
    </w:p>
    <w:p>
      <w:pPr>
        <w:pStyle w:val="ListBullet"/>
        <w:spacing w:after="40" w:line="252" w:lineRule="auto"/>
      </w:pPr>
      <w:r>
        <w:rPr>
          <w:rFonts w:ascii="Arial" w:hAnsi="Arial"/>
        </w:rPr>
        <w:t>DOI registrations: removed from Grey Swan probability movement.</w:t>
      </w:r>
    </w:p>
    <w:p>
      <w:pPr>
        <w:pStyle w:val="ListBullet"/>
        <w:spacing w:after="40" w:line="252" w:lineRule="auto"/>
      </w:pPr>
      <w:r>
        <w:rPr>
          <w:rFonts w:ascii="Arial" w:hAnsi="Arial"/>
        </w:rPr>
        <w:t>ORCID registrations: removed from Grey Swan probability movement.</w:t>
      </w:r>
    </w:p>
    <w:p>
      <w:pPr>
        <w:pStyle w:val="Heading2"/>
        <w:spacing w:after="120" w:line="259" w:lineRule="auto"/>
      </w:pPr>
      <w:r>
        <w:rPr>
          <w:rFonts w:ascii="Arial" w:hAnsi="Arial"/>
        </w:rPr>
        <w:t>AI-aware assessment</w:t>
      </w:r>
    </w:p>
    <w:p>
      <w:pPr>
        <w:spacing w:after="120" w:line="259" w:lineRule="auto"/>
      </w:pPr>
      <w:r>
        <w:rPr>
          <w:rFonts w:ascii="Arial" w:hAnsi="Arial"/>
        </w:rPr>
        <w:t>Assessment redesign remains conceptually central. However, no credible repeated global dataset currently measures AI-aware assessment implementation. It therefore remains Tier 3 until a defensible source exists.</w:t>
      </w:r>
    </w:p>
    <w:p>
      <w:pPr>
        <w:pStyle w:val="Heading1"/>
        <w:spacing w:after="120" w:line="259" w:lineRule="auto"/>
      </w:pPr>
      <w:r>
        <w:rPr>
          <w:rFonts w:ascii="Arial" w:hAnsi="Arial"/>
        </w:rPr>
        <w:t>12. Trust and information integrity</w:t>
      </w:r>
    </w:p>
    <w:p>
      <w:pPr>
        <w:spacing w:after="120" w:line="259" w:lineRule="auto"/>
      </w:pPr>
      <w:r>
        <w:rPr>
          <w:rFonts w:ascii="Arial" w:hAnsi="Arial"/>
        </w:rPr>
        <w:t>The operational Trust lever is kept distinct from the Structural Trust Basket.</w:t>
      </w:r>
    </w:p>
    <w:p>
      <w:pPr>
        <w:pStyle w:val="Heading2"/>
        <w:spacing w:after="120" w:line="259" w:lineRule="auto"/>
      </w:pPr>
      <w:r>
        <w:rPr>
          <w:rFonts w:ascii="Arial" w:hAnsi="Arial"/>
        </w:rPr>
        <w:t>T1. Implemented AI accountability architecture</w:t>
      </w:r>
    </w:p>
    <w:p>
      <w:pPr>
        <w:spacing w:after="120" w:line="259" w:lineRule="auto"/>
      </w:pPr>
      <w:r>
        <w:rPr>
          <w:rFonts w:ascii="Arial" w:hAnsi="Arial"/>
        </w:rPr>
        <w:t>Primary discovery source: OECD.AI Policy Navigator, verified where necessary against official government, regulatory or legal sources.</w:t>
      </w:r>
    </w:p>
    <w:p>
      <w:pPr>
        <w:spacing w:after="120" w:line="259" w:lineRule="auto"/>
      </w:pPr>
      <w:r>
        <w:rPr>
          <w:rFonts w:ascii="Arial" w:hAnsi="Arial"/>
        </w:rPr>
        <w:t>Qualifying evidence may include implementation of transparency requirements, pre-deployment assessment, external audit, disclosure obligations, and meaningful appeal or contestability mechanisms. Strategies and declarations alone do not qualify.</w:t>
      </w:r>
    </w:p>
    <w:p>
      <w:pPr>
        <w:pStyle w:val="Heading2"/>
        <w:spacing w:after="120" w:line="259" w:lineRule="auto"/>
      </w:pPr>
      <w:r>
        <w:rPr>
          <w:rFonts w:ascii="Arial" w:hAnsi="Arial"/>
        </w:rPr>
        <w:t>Acute information disruption</w:t>
      </w:r>
    </w:p>
    <w:p>
      <w:pPr>
        <w:spacing w:after="120" w:line="259" w:lineRule="auto"/>
      </w:pPr>
      <w:r>
        <w:rPr>
          <w:rFonts w:ascii="Arial" w:hAnsi="Arial"/>
        </w:rPr>
        <w:t>IODA and comparable disruption evidence remain shock indicators. Absence of internet shutdowns cannot be interpreted as evidence that AI accountability or institutional trust is improving.</w:t>
      </w:r>
    </w:p>
    <w:p>
      <w:pPr>
        <w:pStyle w:val="Heading2"/>
        <w:spacing w:after="120" w:line="259" w:lineRule="auto"/>
      </w:pPr>
      <w:r>
        <w:rPr>
          <w:rFonts w:ascii="Arial" w:hAnsi="Arial"/>
        </w:rPr>
        <w:t>Provenance</w:t>
      </w:r>
    </w:p>
    <w:p>
      <w:pPr>
        <w:spacing w:after="120" w:line="259" w:lineRule="auto"/>
      </w:pPr>
      <w:r>
        <w:rPr>
          <w:rFonts w:ascii="Arial" w:hAnsi="Arial"/>
        </w:rPr>
        <w:t>C2PA and related Content Credentials remain important Tier-3 candidates, but will not move probabilities until a sufficiently robust global adoption series exists.</w:t>
      </w:r>
    </w:p>
    <w:p>
      <w:pPr>
        <w:pStyle w:val="Heading1"/>
        <w:spacing w:after="120" w:line="259" w:lineRule="auto"/>
      </w:pPr>
      <w:r>
        <w:rPr>
          <w:rFonts w:ascii="Arial" w:hAnsi="Arial"/>
        </w:rPr>
        <w:t>13. Treaty-lite coordination and supply security</w:t>
      </w:r>
    </w:p>
    <w:p>
      <w:pPr>
        <w:spacing w:after="120" w:line="259" w:lineRule="auto"/>
      </w:pPr>
      <w:r>
        <w:rPr>
          <w:rFonts w:ascii="Arial" w:hAnsi="Arial"/>
        </w:rPr>
        <w:t>v11.9 relied substantially on trade-system outcomes such as container throughput and liner connectivity. v12 distinguishes network resilience from actual coordination.</w:t>
      </w:r>
    </w:p>
    <w:p>
      <w:pPr>
        <w:pStyle w:val="Heading2"/>
        <w:spacing w:after="120" w:line="259" w:lineRule="auto"/>
      </w:pPr>
      <w:r>
        <w:rPr>
          <w:rFonts w:ascii="Arial" w:hAnsi="Arial"/>
        </w:rPr>
        <w:t>C1. Network resilience</w:t>
      </w:r>
    </w:p>
    <w:p>
      <w:pPr>
        <w:spacing w:after="120" w:line="259" w:lineRule="auto"/>
      </w:pPr>
      <w:r>
        <w:rPr>
          <w:rFonts w:ascii="Arial" w:hAnsi="Arial"/>
        </w:rPr>
        <w:t>Primary source: UNCTAD Liner Shipping Connectivity Index. This retains continuity with the previous architecture.</w:t>
      </w:r>
    </w:p>
    <w:p>
      <w:pPr>
        <w:pStyle w:val="Heading2"/>
        <w:spacing w:after="120" w:line="259" w:lineRule="auto"/>
      </w:pPr>
      <w:r>
        <w:rPr>
          <w:rFonts w:ascii="Arial" w:hAnsi="Arial"/>
        </w:rPr>
        <w:t>C2. Operational compact evidence</w:t>
      </w:r>
    </w:p>
    <w:p>
      <w:pPr>
        <w:spacing w:after="120" w:line="259" w:lineRule="auto"/>
      </w:pPr>
      <w:r>
        <w:rPr>
          <w:rFonts w:ascii="Arial" w:hAnsi="Arial"/>
        </w:rPr>
        <w:t>Sources include OECD.AI international-policy material and official international agreements and institutional sources. A compact qualifies only where there is evidence of:</w:t>
      </w:r>
    </w:p>
    <w:p>
      <w:pPr>
        <w:spacing w:after="40"/>
        <w:ind w:left="259" w:hanging="259"/>
      </w:pPr>
      <w:r>
        <w:rPr>
          <w:rFonts w:ascii="Arial" w:hAnsi="Arial"/>
        </w:rPr>
        <w:t>1.  identifiable participating jurisdictions;</w:t>
      </w:r>
    </w:p>
    <w:p>
      <w:pPr>
        <w:spacing w:after="40"/>
        <w:ind w:left="259" w:hanging="259"/>
      </w:pPr>
      <w:r>
        <w:rPr>
          <w:rFonts w:ascii="Arial" w:hAnsi="Arial"/>
        </w:rPr>
        <w:t>2.  limited and operational scope;</w:t>
      </w:r>
    </w:p>
    <w:p>
      <w:pPr>
        <w:spacing w:after="40"/>
        <w:ind w:left="259" w:hanging="259"/>
      </w:pPr>
      <w:r>
        <w:rPr>
          <w:rFonts w:ascii="Arial" w:hAnsi="Arial"/>
        </w:rPr>
        <w:t>3.  implementation or monitoring;</w:t>
      </w:r>
    </w:p>
    <w:p>
      <w:pPr>
        <w:spacing w:after="40"/>
        <w:ind w:left="259" w:hanging="259"/>
      </w:pPr>
      <w:r>
        <w:rPr>
          <w:rFonts w:ascii="Arial" w:hAnsi="Arial"/>
        </w:rPr>
        <w:t>4.  actual activation, enforcement, testing or dispute resolution.</w:t>
      </w:r>
    </w:p>
    <w:p>
      <w:pPr>
        <w:spacing w:after="120" w:line="259" w:lineRule="auto"/>
      </w:pPr>
      <w:r>
        <w:rPr>
          <w:rFonts w:ascii="Arial" w:hAnsi="Arial"/>
        </w:rPr>
        <w:t>Communiqués do not qualify. RWI/ISL container throughput remains contextual/corroborating evidence.</w:t>
      </w:r>
    </w:p>
    <w:p>
      <w:pPr>
        <w:pStyle w:val="Heading1"/>
        <w:spacing w:after="120" w:line="259" w:lineRule="auto"/>
      </w:pPr>
      <w:r>
        <w:rPr>
          <w:rFonts w:ascii="Arial" w:hAnsi="Arial"/>
        </w:rPr>
        <w:t>14. Compute and AI access</w:t>
      </w:r>
    </w:p>
    <w:p>
      <w:pPr>
        <w:spacing w:after="120" w:line="259" w:lineRule="auto"/>
      </w:pPr>
      <w:r>
        <w:rPr>
          <w:rFonts w:ascii="Arial" w:hAnsi="Arial"/>
        </w:rPr>
        <w:t>Compute receives the largest operational redesign. v11.9 relied substantially on broadband latency and download speed. These measures describe connectivity, not productive AI access.</w:t>
      </w:r>
    </w:p>
    <w:p>
      <w:pPr>
        <w:pStyle w:val="Heading2"/>
        <w:spacing w:after="120" w:line="259" w:lineRule="auto"/>
      </w:pPr>
      <w:r>
        <w:rPr>
          <w:rFonts w:ascii="Arial" w:hAnsi="Arial"/>
        </w:rPr>
        <w:t>CA1. Concentration of advanced AI compute</w:t>
      </w:r>
    </w:p>
    <w:p>
      <w:pPr>
        <w:spacing w:after="120" w:line="259" w:lineRule="auto"/>
      </w:pPr>
      <w:r>
        <w:rPr>
          <w:rFonts w:ascii="Arial" w:hAnsi="Arial"/>
        </w:rPr>
        <w:t>Primary source: Epoch AI Chip Owners and related data-center datasets. Because these datasets involve estimation rather than purely administrative reporting, they are treated as fragile Tier-2 evidence under existing source-quality rules. Movement based solely on this source remains capped and normally requires corroboration.</w:t>
      </w:r>
    </w:p>
    <w:p>
      <w:pPr>
        <w:pStyle w:val="Heading2"/>
        <w:spacing w:after="120" w:line="259" w:lineRule="auto"/>
      </w:pPr>
      <w:r>
        <w:rPr>
          <w:rFonts w:ascii="Arial" w:hAnsi="Arial"/>
        </w:rPr>
        <w:t>CA2. Geographic availability of usable AI compute</w:t>
      </w:r>
    </w:p>
    <w:p>
      <w:pPr>
        <w:spacing w:after="120" w:line="259" w:lineRule="auto"/>
      </w:pPr>
      <w:r>
        <w:rPr>
          <w:rFonts w:ascii="Arial" w:hAnsi="Arial"/>
        </w:rPr>
        <w:t>Primary source: OECD public-cloud AI-compute availability datasets/methodology.</w:t>
      </w:r>
    </w:p>
    <w:p>
      <w:pPr>
        <w:spacing w:after="120" w:line="259" w:lineRule="auto"/>
      </w:pPr>
      <w:r>
        <w:rPr>
          <w:rFonts w:ascii="Arial" w:hAnsi="Arial"/>
        </w:rPr>
        <w:t>The compute lever therefore asks two direct questions: Who controls advanced compute? Who can realistically access it? M-Lab connectivity data move to Tier 1/Tier 3 digital-access context.</w:t>
      </w:r>
    </w:p>
    <w:p>
      <w:pPr>
        <w:pStyle w:val="Heading1"/>
        <w:spacing w:after="120" w:line="259" w:lineRule="auto"/>
      </w:pPr>
      <w:r>
        <w:rPr>
          <w:rFonts w:ascii="Arial" w:hAnsi="Arial"/>
        </w:rPr>
        <w:t>15. Wealth-Diffusion Gate</w:t>
      </w:r>
    </w:p>
    <w:p>
      <w:pPr>
        <w:spacing w:after="120" w:line="259" w:lineRule="auto"/>
      </w:pPr>
      <w:r>
        <w:rPr>
          <w:rFonts w:ascii="Arial" w:hAnsi="Arial"/>
        </w:rPr>
        <w:t>The Gate remains binding. Its conceptual role is strengthened rather than diluted.</w:t>
      </w:r>
    </w:p>
    <w:p>
      <w:pPr>
        <w:spacing w:after="120" w:line="259" w:lineRule="auto"/>
      </w:pPr>
      <w:r>
        <w:rPr>
          <w:rFonts w:ascii="Arial" w:hAnsi="Arial"/>
        </w:rPr>
        <w:t>The original model required evidence that household buffers improve, ownership/profit participation broadens and inequality improves. v12 retains the principle while improving measurability.</w:t>
      </w:r>
    </w:p>
    <w:tbl>
      <w:tblPr>
        <w:tblStyle w:val="TableGrid"/>
        <w:tblW w:type="auto" w:w="0"/>
        <w:jc w:val="center"/>
        <w:tblLayout w:type="autofit"/>
        <w:tblLook w:firstColumn="1" w:firstRow="1" w:lastColumn="0" w:lastRow="0" w:noHBand="0" w:noVBand="1" w:val="04A0"/>
      </w:tblPr>
      <w:tblGrid>
        <w:gridCol w:w="5040"/>
        <w:gridCol w:w="5040"/>
      </w:tblGrid>
      <w:tr>
        <w:trPr>
          <w:tblHeader w:val="true"/>
        </w:trPr>
        <w:tc>
          <w:tcPr>
            <w:tcW w:type="dxa" w:w="4032"/>
            <w:shd w:fill="17365D"/>
            <w:tcMar>
              <w:top w:w="80" w:type="dxa"/>
              <w:start w:w="100" w:type="dxa"/>
              <w:bottom w:w="80" w:type="dxa"/>
              <w:end w:w="100" w:type="dxa"/>
            </w:tcMar>
            <w:vAlign w:val="center"/>
          </w:tcPr>
          <w:p>
            <w:pPr>
              <w:jc w:val="left"/>
            </w:pPr>
            <w:r/>
            <w:r>
              <w:rPr>
                <w:rFonts w:ascii="Arial" w:hAnsi="Arial"/>
                <w:b/>
                <w:color w:val="FFFFFF"/>
                <w:sz w:val="17"/>
              </w:rPr>
              <w:t>Dimension</w:t>
            </w:r>
          </w:p>
        </w:tc>
        <w:tc>
          <w:tcPr>
            <w:tcW w:type="dxa" w:w="6048"/>
            <w:shd w:fill="17365D"/>
            <w:tcMar>
              <w:top w:w="80" w:type="dxa"/>
              <w:start w:w="100" w:type="dxa"/>
              <w:bottom w:w="80" w:type="dxa"/>
              <w:end w:w="100" w:type="dxa"/>
            </w:tcMar>
            <w:vAlign w:val="center"/>
          </w:tcPr>
          <w:p>
            <w:pPr>
              <w:jc w:val="left"/>
            </w:pPr>
            <w:r/>
            <w:r>
              <w:rPr>
                <w:rFonts w:ascii="Arial" w:hAnsi="Arial"/>
                <w:b/>
                <w:color w:val="FFFFFF"/>
                <w:sz w:val="17"/>
              </w:rPr>
              <w:t>Primary evidence</w:t>
            </w:r>
          </w:p>
        </w:tc>
      </w:tr>
      <w:tr>
        <w:tc>
          <w:tcPr>
            <w:tcW w:type="dxa" w:w="4032"/>
            <w:tcMar>
              <w:top w:w="80" w:type="dxa"/>
              <w:start w:w="100" w:type="dxa"/>
              <w:bottom w:w="80" w:type="dxa"/>
              <w:end w:w="100" w:type="dxa"/>
            </w:tcMar>
            <w:vAlign w:val="top"/>
          </w:tcPr>
          <w:p>
            <w:pPr>
              <w:spacing w:after="0"/>
            </w:pPr>
            <w:r/>
            <w:r>
              <w:rPr>
                <w:rFonts w:ascii="Arial" w:hAnsi="Arial"/>
                <w:sz w:val="17"/>
              </w:rPr>
              <w:t>Household financial security</w:t>
            </w:r>
          </w:p>
        </w:tc>
        <w:tc>
          <w:tcPr>
            <w:tcW w:type="dxa" w:w="6048"/>
            <w:tcMar>
              <w:top w:w="80" w:type="dxa"/>
              <w:start w:w="100" w:type="dxa"/>
              <w:bottom w:w="80" w:type="dxa"/>
              <w:end w:w="100" w:type="dxa"/>
            </w:tcMar>
            <w:vAlign w:val="top"/>
          </w:tcPr>
          <w:p>
            <w:pPr>
              <w:spacing w:after="0"/>
            </w:pPr>
            <w:r/>
            <w:r>
              <w:rPr>
                <w:rFonts w:ascii="Arial" w:hAnsi="Arial"/>
                <w:sz w:val="17"/>
              </w:rPr>
              <w:t>World Bank Global Findex</w:t>
            </w:r>
          </w:p>
        </w:tc>
      </w:tr>
      <w:tr>
        <w:tc>
          <w:tcPr>
            <w:tcW w:type="dxa" w:w="4032"/>
            <w:tcMar>
              <w:top w:w="80" w:type="dxa"/>
              <w:start w:w="100" w:type="dxa"/>
              <w:bottom w:w="80" w:type="dxa"/>
              <w:end w:w="100" w:type="dxa"/>
            </w:tcMar>
            <w:shd w:fill="F3F6FA"/>
            <w:vAlign w:val="top"/>
          </w:tcPr>
          <w:p>
            <w:pPr>
              <w:spacing w:after="0"/>
            </w:pPr>
            <w:r/>
            <w:r>
              <w:rPr>
                <w:rFonts w:ascii="Arial" w:hAnsi="Arial"/>
                <w:sz w:val="17"/>
              </w:rPr>
              <w:t>Labor participation in gains</w:t>
            </w:r>
          </w:p>
        </w:tc>
        <w:tc>
          <w:tcPr>
            <w:tcW w:type="dxa" w:w="6048"/>
            <w:tcMar>
              <w:top w:w="80" w:type="dxa"/>
              <w:start w:w="100" w:type="dxa"/>
              <w:bottom w:w="80" w:type="dxa"/>
              <w:end w:w="100" w:type="dxa"/>
            </w:tcMar>
            <w:shd w:fill="F3F6FA"/>
            <w:vAlign w:val="top"/>
          </w:tcPr>
          <w:p>
            <w:pPr>
              <w:spacing w:after="0"/>
            </w:pPr>
            <w:r/>
            <w:r>
              <w:rPr>
                <w:rFonts w:ascii="Arial" w:hAnsi="Arial"/>
                <w:sz w:val="17"/>
              </w:rPr>
              <w:t>ILOSTAT labor income share</w:t>
            </w:r>
          </w:p>
        </w:tc>
      </w:tr>
      <w:tr>
        <w:tc>
          <w:tcPr>
            <w:tcW w:type="dxa" w:w="4032"/>
            <w:tcMar>
              <w:top w:w="80" w:type="dxa"/>
              <w:start w:w="100" w:type="dxa"/>
              <w:bottom w:w="80" w:type="dxa"/>
              <w:end w:w="100" w:type="dxa"/>
            </w:tcMar>
            <w:vAlign w:val="top"/>
          </w:tcPr>
          <w:p>
            <w:pPr>
              <w:spacing w:after="0"/>
            </w:pPr>
            <w:r/>
            <w:r>
              <w:rPr>
                <w:rFonts w:ascii="Arial" w:hAnsi="Arial"/>
                <w:sz w:val="17"/>
              </w:rPr>
              <w:t>Distribution/shared prosperity</w:t>
            </w:r>
          </w:p>
        </w:tc>
        <w:tc>
          <w:tcPr>
            <w:tcW w:type="dxa" w:w="6048"/>
            <w:tcMar>
              <w:top w:w="80" w:type="dxa"/>
              <w:start w:w="100" w:type="dxa"/>
              <w:bottom w:w="80" w:type="dxa"/>
              <w:end w:w="100" w:type="dxa"/>
            </w:tcMar>
            <w:vAlign w:val="top"/>
          </w:tcPr>
          <w:p>
            <w:pPr>
              <w:spacing w:after="0"/>
            </w:pPr>
            <w:r/>
            <w:r>
              <w:rPr>
                <w:rFonts w:ascii="Arial" w:hAnsi="Arial"/>
                <w:sz w:val="17"/>
              </w:rPr>
              <w:t>World Bank inequality and shared-prosperity indicators</w:t>
            </w:r>
          </w:p>
        </w:tc>
      </w:tr>
    </w:tbl>
    <w:p>
      <w:pPr>
        <w:spacing w:after="40"/>
      </w:pPr>
    </w:p>
    <w:p>
      <w:pPr>
        <w:spacing w:after="120" w:line="259" w:lineRule="auto"/>
      </w:pPr>
      <w:r>
        <w:rPr>
          <w:rFonts w:ascii="Arial" w:hAnsi="Arial"/>
        </w:rPr>
        <w:t>Profit sharing, employee ownership, micro-equity and social wealth mechanisms remain important but shift to Tier 3 because no satisfactory global repeated series exists.</w:t>
      </w:r>
    </w:p>
    <w:p>
      <w:pPr>
        <w:pStyle w:val="Heading2"/>
        <w:spacing w:after="120" w:line="259" w:lineRule="auto"/>
      </w:pPr>
      <w:r>
        <w:rPr>
          <w:rFonts w:ascii="Arial" w:hAnsi="Arial"/>
        </w:rPr>
        <w:t>Proposed Gate logic</w:t>
      </w:r>
    </w:p>
    <w:p>
      <w:pPr>
        <w:spacing w:after="120" w:line="259" w:lineRule="auto"/>
      </w:pPr>
      <w:r>
        <w:rPr>
          <w:rFonts w:ascii="Arial" w:hAnsi="Arial"/>
        </w:rPr>
        <w:t>The Gate remains closed unless:</w:t>
      </w:r>
    </w:p>
    <w:p>
      <w:pPr>
        <w:pStyle w:val="ListBullet"/>
        <w:spacing w:after="40" w:line="252" w:lineRule="auto"/>
      </w:pPr>
      <w:r>
        <w:rPr>
          <w:rFonts w:ascii="Arial" w:hAnsi="Arial"/>
        </w:rPr>
        <w:t>none of the three dimensions is materially deteriorating;</w:t>
      </w:r>
    </w:p>
    <w:p>
      <w:pPr>
        <w:pStyle w:val="ListBullet"/>
        <w:spacing w:after="40" w:line="252" w:lineRule="auto"/>
      </w:pPr>
      <w:r>
        <w:rPr>
          <w:rFonts w:ascii="Arial" w:hAnsi="Arial"/>
        </w:rPr>
        <w:t>at least two demonstrate persistent improvement;</w:t>
      </w:r>
    </w:p>
    <w:p>
      <w:pPr>
        <w:pStyle w:val="ListBullet"/>
        <w:spacing w:after="40" w:line="252" w:lineRule="auto"/>
      </w:pPr>
      <w:r>
        <w:rPr>
          <w:rFonts w:ascii="Arial" w:hAnsi="Arial"/>
        </w:rPr>
        <w:t>evidence is based on eligible updated vintages.</w:t>
      </w:r>
    </w:p>
    <w:p>
      <w:pPr>
        <w:spacing w:after="120" w:line="259" w:lineRule="auto"/>
      </w:pPr>
      <w:r>
        <w:rPr>
          <w:rFonts w:ascii="Arial" w:hAnsi="Arial"/>
        </w:rPr>
        <w:t>No material movement toward Full Empowerment is permitted while the Gate is closed.</w:t>
      </w:r>
    </w:p>
    <w:p>
      <w:pPr>
        <w:pStyle w:val="Heading1"/>
        <w:spacing w:after="120" w:line="259" w:lineRule="auto"/>
      </w:pPr>
      <w:r>
        <w:rPr>
          <w:rFonts w:ascii="Arial" w:hAnsi="Arial"/>
        </w:rPr>
        <w:t>16. Participation Stress Flag</w:t>
      </w:r>
    </w:p>
    <w:p>
      <w:pPr>
        <w:spacing w:after="120" w:line="259" w:lineRule="auto"/>
      </w:pPr>
      <w:r>
        <w:rPr>
          <w:rFonts w:ascii="Arial" w:hAnsi="Arial"/>
        </w:rPr>
        <w:t>Labor remains cross-cutting rather than becoming a seventh lever. A new Participation Stress Flag is added.</w:t>
      </w:r>
    </w:p>
    <w:p>
      <w:pPr>
        <w:pStyle w:val="Heading2"/>
        <w:spacing w:after="120" w:line="259" w:lineRule="auto"/>
      </w:pPr>
      <w:r>
        <w:rPr>
          <w:rFonts w:ascii="Arial" w:hAnsi="Arial"/>
        </w:rPr>
        <w:t>P1. Access to work</w:t>
      </w:r>
    </w:p>
    <w:p>
      <w:pPr>
        <w:spacing w:after="120" w:line="259" w:lineRule="auto"/>
      </w:pPr>
      <w:r>
        <w:rPr>
          <w:rFonts w:ascii="Arial" w:hAnsi="Arial"/>
        </w:rPr>
        <w:t>Primary source: ILOSTAT employment-to-population measures, including age-specific data where comparable.</w:t>
      </w:r>
    </w:p>
    <w:p>
      <w:pPr>
        <w:pStyle w:val="Heading2"/>
        <w:spacing w:after="120" w:line="259" w:lineRule="auto"/>
      </w:pPr>
      <w:r>
        <w:rPr>
          <w:rFonts w:ascii="Arial" w:hAnsi="Arial"/>
        </w:rPr>
        <w:t>P2. Participation in economic gains</w:t>
      </w:r>
    </w:p>
    <w:p>
      <w:pPr>
        <w:spacing w:after="120" w:line="259" w:lineRule="auto"/>
      </w:pPr>
      <w:r>
        <w:rPr>
          <w:rFonts w:ascii="Arial" w:hAnsi="Arial"/>
        </w:rPr>
        <w:t>Primary source: ILOSTAT labor income share.</w:t>
      </w:r>
    </w:p>
    <w:p>
      <w:pPr>
        <w:spacing w:after="120" w:line="259" w:lineRule="auto"/>
      </w:pPr>
      <w:r>
        <w:rPr>
          <w:rFonts w:ascii="Arial" w:hAnsi="Arial"/>
        </w:rPr>
        <w:t>The flag activates only where deterioration is persistent and corroborated across both families. The flag does not require causal proof that AI produced the deterioration. AI attribution remains Tier 3 unless especially strong evidence exists. This prevents the model from demanding impossible causal certainty before recognizing labor-market stress.</w:t>
      </w:r>
    </w:p>
    <w:p>
      <w:pPr>
        <w:pStyle w:val="Heading1"/>
        <w:spacing w:after="120" w:line="259" w:lineRule="auto"/>
      </w:pPr>
      <w:r>
        <w:rPr>
          <w:rFonts w:ascii="Arial" w:hAnsi="Arial"/>
        </w:rPr>
        <w:t>17. Economic Stress Flag</w:t>
      </w:r>
    </w:p>
    <w:p>
      <w:pPr>
        <w:spacing w:after="120" w:line="259" w:lineRule="auto"/>
      </w:pPr>
      <w:r>
        <w:rPr>
          <w:rFonts w:ascii="Arial" w:hAnsi="Arial"/>
        </w:rPr>
        <w:t>The Economic Stress Flag remains, but its architecture becomes cleaner. Primary families are the OECD Composite Leading Indicator and IMF World Economic Outlook revisions. ILOSTAT employment measures move principally to Participation Stress rather than being counted repeatedly across macroeconomic and labor diagnostics. This reduces double counting.</w:t>
      </w:r>
    </w:p>
    <w:p>
      <w:pPr>
        <w:pStyle w:val="Heading1"/>
        <w:spacing w:after="120" w:line="259" w:lineRule="auto"/>
      </w:pPr>
      <w:r>
        <w:rPr>
          <w:rFonts w:ascii="Arial" w:hAnsi="Arial"/>
        </w:rPr>
        <w:t>18. Cross-cutting flags</w:t>
      </w:r>
    </w:p>
    <w:p>
      <w:pPr>
        <w:spacing w:after="120" w:line="259" w:lineRule="auto"/>
      </w:pPr>
      <w:r>
        <w:rPr>
          <w:rFonts w:ascii="Arial" w:hAnsi="Arial"/>
        </w:rPr>
        <w:t>v12 contains four formal diagnostic flags:</w:t>
      </w:r>
    </w:p>
    <w:p>
      <w:pPr>
        <w:spacing w:after="40"/>
        <w:ind w:left="259" w:hanging="259"/>
      </w:pPr>
      <w:r>
        <w:rPr>
          <w:rFonts w:ascii="Arial" w:hAnsi="Arial"/>
        </w:rPr>
        <w:t>1.  Geopolitical Shock</w:t>
      </w:r>
    </w:p>
    <w:p>
      <w:pPr>
        <w:spacing w:after="40"/>
        <w:ind w:left="259" w:hanging="259"/>
      </w:pPr>
      <w:r>
        <w:rPr>
          <w:rFonts w:ascii="Arial" w:hAnsi="Arial"/>
        </w:rPr>
        <w:t>2.  Health Surveillance</w:t>
      </w:r>
    </w:p>
    <w:p>
      <w:pPr>
        <w:spacing w:after="40"/>
        <w:ind w:left="259" w:hanging="259"/>
      </w:pPr>
      <w:r>
        <w:rPr>
          <w:rFonts w:ascii="Arial" w:hAnsi="Arial"/>
        </w:rPr>
        <w:t>3.  Economic Stress</w:t>
      </w:r>
    </w:p>
    <w:p>
      <w:pPr>
        <w:spacing w:after="40"/>
        <w:ind w:left="259" w:hanging="259"/>
      </w:pPr>
      <w:r>
        <w:rPr>
          <w:rFonts w:ascii="Arial" w:hAnsi="Arial"/>
        </w:rPr>
        <w:t>4.  Participation Stress</w:t>
      </w:r>
    </w:p>
    <w:p>
      <w:pPr>
        <w:spacing w:after="120" w:line="259" w:lineRule="auto"/>
      </w:pPr>
      <w:r>
        <w:rPr>
          <w:rFonts w:ascii="Arial" w:hAnsi="Arial"/>
        </w:rPr>
        <w:t>Climate remains a cross-cutting structural constraint rather than a separate trigger flag. The Geopolitical Risk index remains the principal geopolitical trigger series, with trade/connectivity evidence used for corroboration.</w:t>
      </w:r>
    </w:p>
    <w:p>
      <w:pPr>
        <w:pStyle w:val="Heading1"/>
        <w:spacing w:after="120" w:line="259" w:lineRule="auto"/>
      </w:pPr>
      <w:r>
        <w:rPr>
          <w:rFonts w:ascii="Arial" w:hAnsi="Arial"/>
        </w:rPr>
        <w:t>19. State capacity</w:t>
      </w:r>
    </w:p>
    <w:p>
      <w:pPr>
        <w:spacing w:after="120" w:line="259" w:lineRule="auto"/>
      </w:pPr>
      <w:r>
        <w:rPr>
          <w:rFonts w:ascii="Arial" w:hAnsi="Arial"/>
        </w:rPr>
        <w:t>State capacity remains explicit but does not become a seventh lever. It is represented primarily through Tier-1 institutional indicators, including World Bank Government Effectiveness and related structural governance evidence. The logic is that state capacity is expressed through the ability to deliver progress across all six levers. Creating a separate State Capacity lever would risk systematically double-counting institutional weakness.</w:t>
      </w:r>
    </w:p>
    <w:p>
      <w:pPr>
        <w:pStyle w:val="Heading1"/>
        <w:spacing w:after="120" w:line="259" w:lineRule="auto"/>
      </w:pPr>
      <w:r>
        <w:rPr>
          <w:rFonts w:ascii="Arial" w:hAnsi="Arial"/>
        </w:rPr>
        <w:t>20. New Posture Likelihood layer</w:t>
      </w:r>
    </w:p>
    <w:p>
      <w:pPr>
        <w:spacing w:after="120" w:line="259" w:lineRule="auto"/>
      </w:pPr>
      <w:r>
        <w:rPr>
          <w:rFonts w:ascii="Arial" w:hAnsi="Arial"/>
        </w:rPr>
        <w:t>v12 introduces a new layer above the existing conditional DTR/LIR scenarios. The original conditional structure remains P(O | DTR) and P(O | LIR), where O is FE, MD, UT or LC. v12 additionally estimates P(DTR) and P(LIR) = 1 - P(DTR).</w:t>
      </w:r>
    </w:p>
    <w:p>
      <w:pPr>
        <w:spacing w:after="120" w:line="259" w:lineRule="auto"/>
      </w:pPr>
      <w:r>
        <w:rPr>
          <w:rFonts w:ascii="Arial" w:hAnsi="Arial"/>
        </w:rPr>
        <w:t>The blended outlook is calculated as:</w:t>
      </w:r>
    </w:p>
    <w:p>
      <w:pPr>
        <w:spacing w:before="120" w:after="160"/>
        <w:jc w:val="center"/>
      </w:pPr>
      <w:r>
        <w:rPr>
          <w:rFonts w:ascii="Arial" w:hAnsi="Arial"/>
          <w:b/>
          <w:color w:val="17365D"/>
          <w:sz w:val="23"/>
        </w:rPr>
        <w:t>P(O) = P(DTR) × P(O | DTR) + P(LIR) × P(O | LIR)</w:t>
      </w:r>
    </w:p>
    <w:p>
      <w:pPr>
        <w:spacing w:after="120" w:line="259" w:lineRule="auto"/>
      </w:pPr>
      <w:r>
        <w:rPr>
          <w:rFonts w:ascii="Arial" w:hAnsi="Arial"/>
        </w:rPr>
        <w:t>The model can therefore produce:</w:t>
      </w:r>
    </w:p>
    <w:p>
      <w:pPr>
        <w:spacing w:after="40"/>
        <w:ind w:left="259" w:hanging="259"/>
      </w:pPr>
      <w:r>
        <w:rPr>
          <w:rFonts w:ascii="Arial" w:hAnsi="Arial"/>
        </w:rPr>
        <w:t>1.  conditional DTR outcomes;</w:t>
      </w:r>
    </w:p>
    <w:p>
      <w:pPr>
        <w:spacing w:after="40"/>
        <w:ind w:left="259" w:hanging="259"/>
      </w:pPr>
      <w:r>
        <w:rPr>
          <w:rFonts w:ascii="Arial" w:hAnsi="Arial"/>
        </w:rPr>
        <w:t>2.  conditional LIR outcomes;</w:t>
      </w:r>
    </w:p>
    <w:p>
      <w:pPr>
        <w:spacing w:after="40"/>
        <w:ind w:left="259" w:hanging="259"/>
      </w:pPr>
      <w:r>
        <w:rPr>
          <w:rFonts w:ascii="Arial" w:hAnsi="Arial"/>
        </w:rPr>
        <w:t>3.  actual blended FE/MD/UT/LC probabilities.</w:t>
      </w:r>
    </w:p>
    <w:p>
      <w:pPr>
        <w:spacing w:after="120" w:line="259" w:lineRule="auto"/>
      </w:pPr>
      <w:r>
        <w:rPr>
          <w:rFonts w:ascii="Arial" w:hAnsi="Arial"/>
        </w:rPr>
        <w:t>This distinction is important because an internally coherent DTR scenario may remain analytically valuable even when evidence suggests that leaders are very unlikely to adopt it.</w:t>
      </w:r>
    </w:p>
    <w:p>
      <w:pPr>
        <w:pStyle w:val="Heading1"/>
        <w:spacing w:after="120" w:line="259" w:lineRule="auto"/>
      </w:pPr>
      <w:r>
        <w:rPr>
          <w:rFonts w:ascii="Arial" w:hAnsi="Arial"/>
        </w:rPr>
        <w:t>21. Assessing Posture Likelihood</w:t>
      </w:r>
    </w:p>
    <w:p>
      <w:pPr>
        <w:spacing w:after="120" w:line="259" w:lineRule="auto"/>
      </w:pPr>
      <w:r>
        <w:rPr>
          <w:rFonts w:ascii="Arial" w:hAnsi="Arial"/>
        </w:rPr>
        <w:t>v12 does not create a large new policy index. The posture assessment reuses evidence collected through the existing architecture. Only implemented action counts.</w:t>
      </w:r>
    </w:p>
    <w:p>
      <w:pPr>
        <w:spacing w:after="120" w:line="259" w:lineRule="auto"/>
      </w:pPr>
      <w:r>
        <w:rPr>
          <w:rFonts w:ascii="Arial" w:hAnsi="Arial"/>
        </w:rPr>
        <w:t>The following do not qualify:</w:t>
      </w:r>
    </w:p>
    <w:p>
      <w:pPr>
        <w:pStyle w:val="ListBullet"/>
        <w:spacing w:after="40" w:line="252" w:lineRule="auto"/>
      </w:pPr>
      <w:r>
        <w:rPr>
          <w:rFonts w:ascii="Arial" w:hAnsi="Arial"/>
        </w:rPr>
        <w:t>speeches;</w:t>
      </w:r>
    </w:p>
    <w:p>
      <w:pPr>
        <w:pStyle w:val="ListBullet"/>
        <w:spacing w:after="40" w:line="252" w:lineRule="auto"/>
      </w:pPr>
      <w:r>
        <w:rPr>
          <w:rFonts w:ascii="Arial" w:hAnsi="Arial"/>
        </w:rPr>
        <w:t>strategies without execution;</w:t>
      </w:r>
    </w:p>
    <w:p>
      <w:pPr>
        <w:pStyle w:val="ListBullet"/>
        <w:spacing w:after="40" w:line="252" w:lineRule="auto"/>
      </w:pPr>
      <w:r>
        <w:rPr>
          <w:rFonts w:ascii="Arial" w:hAnsi="Arial"/>
        </w:rPr>
        <w:t>policy announcements without delivery;</w:t>
      </w:r>
    </w:p>
    <w:p>
      <w:pPr>
        <w:pStyle w:val="ListBullet"/>
        <w:spacing w:after="40" w:line="252" w:lineRule="auto"/>
      </w:pPr>
      <w:r>
        <w:rPr>
          <w:rFonts w:ascii="Arial" w:hAnsi="Arial"/>
        </w:rPr>
        <w:t>voluntary commitments without monitoring;</w:t>
      </w:r>
    </w:p>
    <w:p>
      <w:pPr>
        <w:pStyle w:val="ListBullet"/>
        <w:spacing w:after="40" w:line="252" w:lineRule="auto"/>
      </w:pPr>
      <w:r>
        <w:rPr>
          <w:rFonts w:ascii="Arial" w:hAnsi="Arial"/>
        </w:rPr>
        <w:t>isolated pilots too small to alter the relevant system.</w:t>
      </w:r>
    </w:p>
    <w:p>
      <w:pPr>
        <w:spacing w:after="120" w:line="259" w:lineRule="auto"/>
      </w:pPr>
      <w:r>
        <w:rPr>
          <w:rFonts w:ascii="Arial" w:hAnsi="Arial"/>
        </w:rPr>
        <w:t>Evidence supporting DTR includes persistent implemented movement toward resilience, broad capability, accountability, coordination, access and diffusion of gains.</w:t>
      </w:r>
    </w:p>
    <w:p>
      <w:pPr>
        <w:spacing w:after="120" w:line="259" w:lineRule="auto"/>
      </w:pPr>
      <w:r>
        <w:rPr>
          <w:rFonts w:ascii="Arial" w:hAnsi="Arial"/>
        </w:rPr>
        <w:t>Evidence supporting LIR includes persistent patterns of acceleration without corresponding governance, increasing concentration, weak diffusion, fragmented policy, and visible problems met predominantly by piecemeal response.</w:t>
      </w:r>
    </w:p>
    <w:p>
      <w:pPr>
        <w:pStyle w:val="Heading2"/>
        <w:spacing w:after="120" w:line="259" w:lineRule="auto"/>
      </w:pPr>
      <w:r>
        <w:rPr>
          <w:rFonts w:ascii="Arial" w:hAnsi="Arial"/>
        </w:rPr>
        <w:t>Initial v12 baseline</w:t>
      </w:r>
    </w:p>
    <w:p>
      <w:pPr>
        <w:spacing w:after="120" w:line="259" w:lineRule="auto"/>
      </w:pPr>
      <w:r>
        <w:rPr>
          <w:rFonts w:ascii="Arial" w:hAnsi="Arial"/>
        </w:rPr>
        <w:t>Because v11.9 contained no formal posture probabilities, the first v12 run will establish a one-time baseline. It will document evidence favoring DTR, evidence favoring LIR, the judgment reached, and sensitivity around the chosen probability. The probability will not be mechanically calculated from a simple scorecard.</w:t>
      </w:r>
    </w:p>
    <w:p>
      <w:pPr>
        <w:pStyle w:val="Heading2"/>
        <w:spacing w:after="120" w:line="259" w:lineRule="auto"/>
      </w:pPr>
      <w:r>
        <w:rPr>
          <w:rFonts w:ascii="Arial" w:hAnsi="Arial"/>
        </w:rPr>
        <w:t>Subsequent runs</w:t>
      </w:r>
    </w:p>
    <w:p>
      <w:pPr>
        <w:spacing w:after="120" w:line="259" w:lineRule="auto"/>
      </w:pPr>
      <w:r>
        <w:rPr>
          <w:rFonts w:ascii="Arial" w:hAnsi="Arial"/>
        </w:rPr>
        <w:t>Proposed maximum posture change: ±5 percentage points per six-month run.</w:t>
      </w:r>
    </w:p>
    <w:p>
      <w:pPr>
        <w:spacing w:after="120" w:line="259" w:lineRule="auto"/>
      </w:pPr>
      <w:r>
        <w:rPr>
          <w:rFonts w:ascii="Arial" w:hAnsi="Arial"/>
        </w:rPr>
        <w:t>A global posture movement requires support from at least two independent lever families, persistence, no single jurisdiction or policy dominating the judgment, and symmetric reversion if the evidence fades.</w:t>
      </w:r>
    </w:p>
    <w:p>
      <w:pPr>
        <w:pStyle w:val="Heading1"/>
        <w:spacing w:after="120" w:line="259" w:lineRule="auto"/>
      </w:pPr>
      <w:r>
        <w:rPr>
          <w:rFonts w:ascii="Arial" w:hAnsi="Arial"/>
        </w:rPr>
        <w:t>22. Indicator transition summary</w:t>
      </w:r>
    </w:p>
    <w:tbl>
      <w:tblPr>
        <w:tblStyle w:val="TableGrid"/>
        <w:tblW w:type="auto" w:w="0"/>
        <w:jc w:val="center"/>
        <w:tblLayout w:type="autofit"/>
        <w:tblLook w:firstColumn="1" w:firstRow="1" w:lastColumn="0" w:lastRow="0" w:noHBand="0" w:noVBand="1" w:val="04A0"/>
      </w:tblPr>
      <w:tblGrid>
        <w:gridCol w:w="5040"/>
        <w:gridCol w:w="5040"/>
      </w:tblGrid>
      <w:tr>
        <w:trPr>
          <w:tblHeader w:val="true"/>
        </w:trPr>
        <w:tc>
          <w:tcPr>
            <w:tcW w:type="dxa" w:w="5328"/>
            <w:shd w:fill="17365D"/>
            <w:tcMar>
              <w:top w:w="80" w:type="dxa"/>
              <w:start w:w="100" w:type="dxa"/>
              <w:bottom w:w="80" w:type="dxa"/>
              <w:end w:w="100" w:type="dxa"/>
            </w:tcMar>
            <w:vAlign w:val="center"/>
          </w:tcPr>
          <w:p>
            <w:pPr>
              <w:jc w:val="left"/>
            </w:pPr>
            <w:r/>
            <w:r>
              <w:rPr>
                <w:rFonts w:ascii="Arial" w:hAnsi="Arial"/>
                <w:b/>
                <w:color w:val="FFFFFF"/>
                <w:sz w:val="16"/>
              </w:rPr>
              <w:t>v11.9 indicator / source</w:t>
            </w:r>
          </w:p>
        </w:tc>
        <w:tc>
          <w:tcPr>
            <w:tcW w:type="dxa" w:w="4896"/>
            <w:shd w:fill="17365D"/>
            <w:tcMar>
              <w:top w:w="80" w:type="dxa"/>
              <w:start w:w="100" w:type="dxa"/>
              <w:bottom w:w="80" w:type="dxa"/>
              <w:end w:w="100" w:type="dxa"/>
            </w:tcMar>
            <w:vAlign w:val="center"/>
          </w:tcPr>
          <w:p>
            <w:pPr>
              <w:jc w:val="left"/>
            </w:pPr>
            <w:r/>
            <w:r>
              <w:rPr>
                <w:rFonts w:ascii="Arial" w:hAnsi="Arial"/>
                <w:b/>
                <w:color w:val="FFFFFF"/>
                <w:sz w:val="16"/>
              </w:rPr>
              <w:t>v12 treatment</w:t>
            </w:r>
          </w:p>
        </w:tc>
      </w:tr>
      <w:tr>
        <w:tc>
          <w:tcPr>
            <w:tcW w:type="dxa" w:w="5328"/>
            <w:tcMar>
              <w:top w:w="80" w:type="dxa"/>
              <w:start w:w="100" w:type="dxa"/>
              <w:bottom w:w="80" w:type="dxa"/>
              <w:end w:w="100" w:type="dxa"/>
            </w:tcMar>
            <w:vAlign w:val="top"/>
          </w:tcPr>
          <w:p>
            <w:pPr>
              <w:spacing w:after="0"/>
            </w:pPr>
            <w:r/>
            <w:r>
              <w:rPr>
                <w:rFonts w:ascii="Arial" w:hAnsi="Arial"/>
                <w:sz w:val="16"/>
              </w:rPr>
              <w:t>Nighttime-light anomaly</w:t>
            </w:r>
          </w:p>
        </w:tc>
        <w:tc>
          <w:tcPr>
            <w:tcW w:type="dxa" w:w="4896"/>
            <w:tcMar>
              <w:top w:w="80" w:type="dxa"/>
              <w:start w:w="100" w:type="dxa"/>
              <w:bottom w:w="80" w:type="dxa"/>
              <w:end w:w="100" w:type="dxa"/>
            </w:tcMar>
            <w:vAlign w:val="top"/>
          </w:tcPr>
          <w:p>
            <w:pPr>
              <w:spacing w:after="0"/>
            </w:pPr>
            <w:r/>
            <w:r>
              <w:rPr>
                <w:rFonts w:ascii="Arial" w:hAnsi="Arial"/>
                <w:sz w:val="16"/>
              </w:rPr>
              <w:t>Demote</w:t>
            </w:r>
          </w:p>
        </w:tc>
      </w:tr>
      <w:tr>
        <w:tc>
          <w:tcPr>
            <w:tcW w:type="dxa" w:w="5328"/>
            <w:tcMar>
              <w:top w:w="80" w:type="dxa"/>
              <w:start w:w="100" w:type="dxa"/>
              <w:bottom w:w="80" w:type="dxa"/>
              <w:end w:w="100" w:type="dxa"/>
            </w:tcMar>
            <w:shd w:fill="F3F6FA"/>
            <w:vAlign w:val="top"/>
          </w:tcPr>
          <w:p>
            <w:pPr>
              <w:spacing w:after="0"/>
            </w:pPr>
            <w:r/>
            <w:r>
              <w:rPr>
                <w:rFonts w:ascii="Arial" w:hAnsi="Arial"/>
                <w:sz w:val="16"/>
              </w:rPr>
              <w:t>Operator grid stress</w:t>
            </w:r>
          </w:p>
        </w:tc>
        <w:tc>
          <w:tcPr>
            <w:tcW w:type="dxa" w:w="4896"/>
            <w:tcMar>
              <w:top w:w="80" w:type="dxa"/>
              <w:start w:w="100" w:type="dxa"/>
              <w:bottom w:w="80" w:type="dxa"/>
              <w:end w:w="100" w:type="dxa"/>
            </w:tcMar>
            <w:shd w:fill="F3F6FA"/>
            <w:vAlign w:val="top"/>
          </w:tcPr>
          <w:p>
            <w:pPr>
              <w:spacing w:after="0"/>
            </w:pPr>
            <w:r/>
            <w:r>
              <w:rPr>
                <w:rFonts w:ascii="Arial" w:hAnsi="Arial"/>
                <w:sz w:val="16"/>
              </w:rPr>
              <w:t>Retain/strengthen</w:t>
            </w:r>
          </w:p>
        </w:tc>
      </w:tr>
      <w:tr>
        <w:tc>
          <w:tcPr>
            <w:tcW w:type="dxa" w:w="5328"/>
            <w:tcMar>
              <w:top w:w="80" w:type="dxa"/>
              <w:start w:w="100" w:type="dxa"/>
              <w:bottom w:w="80" w:type="dxa"/>
              <w:end w:w="100" w:type="dxa"/>
            </w:tcMar>
            <w:vAlign w:val="top"/>
          </w:tcPr>
          <w:p>
            <w:pPr>
              <w:spacing w:after="0"/>
            </w:pPr>
            <w:r/>
            <w:r>
              <w:rPr>
                <w:rFonts w:ascii="Arial" w:hAnsi="Arial"/>
                <w:sz w:val="16"/>
              </w:rPr>
              <w:t>Influenza positivity</w:t>
            </w:r>
          </w:p>
        </w:tc>
        <w:tc>
          <w:tcPr>
            <w:tcW w:type="dxa" w:w="4896"/>
            <w:tcMar>
              <w:top w:w="80" w:type="dxa"/>
              <w:start w:w="100" w:type="dxa"/>
              <w:bottom w:w="80" w:type="dxa"/>
              <w:end w:w="100" w:type="dxa"/>
            </w:tcMar>
            <w:vAlign w:val="top"/>
          </w:tcPr>
          <w:p>
            <w:pPr>
              <w:spacing w:after="0"/>
            </w:pPr>
            <w:r/>
            <w:r>
              <w:rPr>
                <w:rFonts w:ascii="Arial" w:hAnsi="Arial"/>
                <w:sz w:val="16"/>
              </w:rPr>
              <w:t>Context</w:t>
            </w:r>
          </w:p>
        </w:tc>
      </w:tr>
      <w:tr>
        <w:tc>
          <w:tcPr>
            <w:tcW w:type="dxa" w:w="5328"/>
            <w:tcMar>
              <w:top w:w="80" w:type="dxa"/>
              <w:start w:w="100" w:type="dxa"/>
              <w:bottom w:w="80" w:type="dxa"/>
              <w:end w:w="100" w:type="dxa"/>
            </w:tcMar>
            <w:shd w:fill="F3F6FA"/>
            <w:vAlign w:val="top"/>
          </w:tcPr>
          <w:p>
            <w:pPr>
              <w:spacing w:after="0"/>
            </w:pPr>
            <w:r/>
            <w:r>
              <w:rPr>
                <w:rFonts w:ascii="Arial" w:hAnsi="Arial"/>
                <w:sz w:val="16"/>
              </w:rPr>
              <w:t>EuroMOMO mortality</w:t>
            </w:r>
          </w:p>
        </w:tc>
        <w:tc>
          <w:tcPr>
            <w:tcW w:type="dxa" w:w="4896"/>
            <w:tcMar>
              <w:top w:w="80" w:type="dxa"/>
              <w:start w:w="100" w:type="dxa"/>
              <w:bottom w:w="80" w:type="dxa"/>
              <w:end w:w="100" w:type="dxa"/>
            </w:tcMar>
            <w:shd w:fill="F3F6FA"/>
            <w:vAlign w:val="top"/>
          </w:tcPr>
          <w:p>
            <w:pPr>
              <w:spacing w:after="0"/>
            </w:pPr>
            <w:r/>
            <w:r>
              <w:rPr>
                <w:rFonts w:ascii="Arial" w:hAnsi="Arial"/>
                <w:sz w:val="16"/>
              </w:rPr>
              <w:t>Context/shock</w:t>
            </w:r>
          </w:p>
        </w:tc>
      </w:tr>
      <w:tr>
        <w:tc>
          <w:tcPr>
            <w:tcW w:type="dxa" w:w="5328"/>
            <w:tcMar>
              <w:top w:w="80" w:type="dxa"/>
              <w:start w:w="100" w:type="dxa"/>
              <w:bottom w:w="80" w:type="dxa"/>
              <w:end w:w="100" w:type="dxa"/>
            </w:tcMar>
            <w:vAlign w:val="top"/>
          </w:tcPr>
          <w:p>
            <w:pPr>
              <w:spacing w:after="0"/>
            </w:pPr>
            <w:r/>
            <w:r>
              <w:rPr>
                <w:rFonts w:ascii="Arial" w:hAnsi="Arial"/>
                <w:sz w:val="16"/>
              </w:rPr>
              <w:t>FluNet reporting</w:t>
            </w:r>
          </w:p>
        </w:tc>
        <w:tc>
          <w:tcPr>
            <w:tcW w:type="dxa" w:w="4896"/>
            <w:tcMar>
              <w:top w:w="80" w:type="dxa"/>
              <w:start w:w="100" w:type="dxa"/>
              <w:bottom w:w="80" w:type="dxa"/>
              <w:end w:w="100" w:type="dxa"/>
            </w:tcMar>
            <w:vAlign w:val="top"/>
          </w:tcPr>
          <w:p>
            <w:pPr>
              <w:spacing w:after="0"/>
            </w:pPr>
            <w:r/>
            <w:r>
              <w:rPr>
                <w:rFonts w:ascii="Arial" w:hAnsi="Arial"/>
                <w:sz w:val="16"/>
              </w:rPr>
              <w:t>Retain/refocus</w:t>
            </w:r>
          </w:p>
        </w:tc>
      </w:tr>
      <w:tr>
        <w:tc>
          <w:tcPr>
            <w:tcW w:type="dxa" w:w="5328"/>
            <w:tcMar>
              <w:top w:w="80" w:type="dxa"/>
              <w:start w:w="100" w:type="dxa"/>
              <w:bottom w:w="80" w:type="dxa"/>
              <w:end w:w="100" w:type="dxa"/>
            </w:tcMar>
            <w:shd w:fill="F3F6FA"/>
            <w:vAlign w:val="top"/>
          </w:tcPr>
          <w:p>
            <w:pPr>
              <w:spacing w:after="0"/>
            </w:pPr>
            <w:r/>
            <w:r>
              <w:rPr>
                <w:rFonts w:ascii="Arial" w:hAnsi="Arial"/>
                <w:sz w:val="16"/>
              </w:rPr>
              <w:t>WHO SPAR</w:t>
            </w:r>
          </w:p>
        </w:tc>
        <w:tc>
          <w:tcPr>
            <w:tcW w:type="dxa" w:w="4896"/>
            <w:tcMar>
              <w:top w:w="80" w:type="dxa"/>
              <w:start w:w="100" w:type="dxa"/>
              <w:bottom w:w="80" w:type="dxa"/>
              <w:end w:w="100" w:type="dxa"/>
            </w:tcMar>
            <w:shd w:fill="F3F6FA"/>
            <w:vAlign w:val="top"/>
          </w:tcPr>
          <w:p>
            <w:pPr>
              <w:spacing w:after="0"/>
            </w:pPr>
            <w:r/>
            <w:r>
              <w:rPr>
                <w:rFonts w:ascii="Arial" w:hAnsi="Arial"/>
                <w:sz w:val="16"/>
              </w:rPr>
              <w:t>Add</w:t>
            </w:r>
          </w:p>
        </w:tc>
      </w:tr>
      <w:tr>
        <w:tc>
          <w:tcPr>
            <w:tcW w:type="dxa" w:w="5328"/>
            <w:tcMar>
              <w:top w:w="80" w:type="dxa"/>
              <w:start w:w="100" w:type="dxa"/>
              <w:bottom w:w="80" w:type="dxa"/>
              <w:end w:w="100" w:type="dxa"/>
            </w:tcMar>
            <w:vAlign w:val="top"/>
          </w:tcPr>
          <w:p>
            <w:pPr>
              <w:spacing w:after="0"/>
            </w:pPr>
            <w:r/>
            <w:r>
              <w:rPr>
                <w:rFonts w:ascii="Arial" w:hAnsi="Arial"/>
                <w:sz w:val="16"/>
              </w:rPr>
              <w:t>School internet</w:t>
            </w:r>
          </w:p>
        </w:tc>
        <w:tc>
          <w:tcPr>
            <w:tcW w:type="dxa" w:w="4896"/>
            <w:tcMar>
              <w:top w:w="80" w:type="dxa"/>
              <w:start w:w="100" w:type="dxa"/>
              <w:bottom w:w="80" w:type="dxa"/>
              <w:end w:w="100" w:type="dxa"/>
            </w:tcMar>
            <w:vAlign w:val="top"/>
          </w:tcPr>
          <w:p>
            <w:pPr>
              <w:spacing w:after="0"/>
            </w:pPr>
            <w:r/>
            <w:r>
              <w:rPr>
                <w:rFonts w:ascii="Arial" w:hAnsi="Arial"/>
                <w:sz w:val="16"/>
              </w:rPr>
              <w:t>Move Tier 1</w:t>
            </w:r>
          </w:p>
        </w:tc>
      </w:tr>
      <w:tr>
        <w:tc>
          <w:tcPr>
            <w:tcW w:type="dxa" w:w="5328"/>
            <w:tcMar>
              <w:top w:w="80" w:type="dxa"/>
              <w:start w:w="100" w:type="dxa"/>
              <w:bottom w:w="80" w:type="dxa"/>
              <w:end w:w="100" w:type="dxa"/>
            </w:tcMar>
            <w:shd w:fill="F3F6FA"/>
            <w:vAlign w:val="top"/>
          </w:tcPr>
          <w:p>
            <w:pPr>
              <w:spacing w:after="0"/>
            </w:pPr>
            <w:r/>
            <w:r>
              <w:rPr>
                <w:rFonts w:ascii="Arial" w:hAnsi="Arial"/>
                <w:sz w:val="16"/>
              </w:rPr>
              <w:t>TALIS AI use</w:t>
            </w:r>
          </w:p>
        </w:tc>
        <w:tc>
          <w:tcPr>
            <w:tcW w:type="dxa" w:w="4896"/>
            <w:tcMar>
              <w:top w:w="80" w:type="dxa"/>
              <w:start w:w="100" w:type="dxa"/>
              <w:bottom w:w="80" w:type="dxa"/>
              <w:end w:w="100" w:type="dxa"/>
            </w:tcMar>
            <w:shd w:fill="F3F6FA"/>
            <w:vAlign w:val="top"/>
          </w:tcPr>
          <w:p>
            <w:pPr>
              <w:spacing w:after="0"/>
            </w:pPr>
            <w:r/>
            <w:r>
              <w:rPr>
                <w:rFonts w:ascii="Arial" w:hAnsi="Arial"/>
                <w:sz w:val="16"/>
              </w:rPr>
              <w:t>Retain</w:t>
            </w:r>
          </w:p>
        </w:tc>
      </w:tr>
      <w:tr>
        <w:tc>
          <w:tcPr>
            <w:tcW w:type="dxa" w:w="5328"/>
            <w:tcMar>
              <w:top w:w="80" w:type="dxa"/>
              <w:start w:w="100" w:type="dxa"/>
              <w:bottom w:w="80" w:type="dxa"/>
              <w:end w:w="100" w:type="dxa"/>
            </w:tcMar>
            <w:vAlign w:val="top"/>
          </w:tcPr>
          <w:p>
            <w:pPr>
              <w:spacing w:after="0"/>
            </w:pPr>
            <w:r/>
            <w:r>
              <w:rPr>
                <w:rFonts w:ascii="Arial" w:hAnsi="Arial"/>
                <w:sz w:val="16"/>
              </w:rPr>
              <w:t>DOI registrations</w:t>
            </w:r>
          </w:p>
        </w:tc>
        <w:tc>
          <w:tcPr>
            <w:tcW w:type="dxa" w:w="4896"/>
            <w:tcMar>
              <w:top w:w="80" w:type="dxa"/>
              <w:start w:w="100" w:type="dxa"/>
              <w:bottom w:w="80" w:type="dxa"/>
              <w:end w:w="100" w:type="dxa"/>
            </w:tcMar>
            <w:vAlign w:val="top"/>
          </w:tcPr>
          <w:p>
            <w:pPr>
              <w:spacing w:after="0"/>
            </w:pPr>
            <w:r/>
            <w:r>
              <w:rPr>
                <w:rFonts w:ascii="Arial" w:hAnsi="Arial"/>
                <w:sz w:val="16"/>
              </w:rPr>
              <w:t>Remove</w:t>
            </w:r>
          </w:p>
        </w:tc>
      </w:tr>
      <w:tr>
        <w:tc>
          <w:tcPr>
            <w:tcW w:type="dxa" w:w="5328"/>
            <w:tcMar>
              <w:top w:w="80" w:type="dxa"/>
              <w:start w:w="100" w:type="dxa"/>
              <w:bottom w:w="80" w:type="dxa"/>
              <w:end w:w="100" w:type="dxa"/>
            </w:tcMar>
            <w:shd w:fill="F3F6FA"/>
            <w:vAlign w:val="top"/>
          </w:tcPr>
          <w:p>
            <w:pPr>
              <w:spacing w:after="0"/>
            </w:pPr>
            <w:r/>
            <w:r>
              <w:rPr>
                <w:rFonts w:ascii="Arial" w:hAnsi="Arial"/>
                <w:sz w:val="16"/>
              </w:rPr>
              <w:t>ORCID registrations</w:t>
            </w:r>
          </w:p>
        </w:tc>
        <w:tc>
          <w:tcPr>
            <w:tcW w:type="dxa" w:w="4896"/>
            <w:tcMar>
              <w:top w:w="80" w:type="dxa"/>
              <w:start w:w="100" w:type="dxa"/>
              <w:bottom w:w="80" w:type="dxa"/>
              <w:end w:w="100" w:type="dxa"/>
            </w:tcMar>
            <w:shd w:fill="F3F6FA"/>
            <w:vAlign w:val="top"/>
          </w:tcPr>
          <w:p>
            <w:pPr>
              <w:spacing w:after="0"/>
            </w:pPr>
            <w:r/>
            <w:r>
              <w:rPr>
                <w:rFonts w:ascii="Arial" w:hAnsi="Arial"/>
                <w:sz w:val="16"/>
              </w:rPr>
              <w:t>Remove</w:t>
            </w:r>
          </w:p>
        </w:tc>
      </w:tr>
      <w:tr>
        <w:tc>
          <w:tcPr>
            <w:tcW w:type="dxa" w:w="5328"/>
            <w:tcMar>
              <w:top w:w="80" w:type="dxa"/>
              <w:start w:w="100" w:type="dxa"/>
              <w:bottom w:w="80" w:type="dxa"/>
              <w:end w:w="100" w:type="dxa"/>
            </w:tcMar>
            <w:vAlign w:val="top"/>
          </w:tcPr>
          <w:p>
            <w:pPr>
              <w:spacing w:after="0"/>
            </w:pPr>
            <w:r/>
            <w:r>
              <w:rPr>
                <w:rFonts w:ascii="Arial" w:hAnsi="Arial"/>
                <w:sz w:val="16"/>
              </w:rPr>
              <w:t>IODA outages</w:t>
            </w:r>
          </w:p>
        </w:tc>
        <w:tc>
          <w:tcPr>
            <w:tcW w:type="dxa" w:w="4896"/>
            <w:tcMar>
              <w:top w:w="80" w:type="dxa"/>
              <w:start w:w="100" w:type="dxa"/>
              <w:bottom w:w="80" w:type="dxa"/>
              <w:end w:w="100" w:type="dxa"/>
            </w:tcMar>
            <w:vAlign w:val="top"/>
          </w:tcPr>
          <w:p>
            <w:pPr>
              <w:spacing w:after="0"/>
            </w:pPr>
            <w:r/>
            <w:r>
              <w:rPr>
                <w:rFonts w:ascii="Arial" w:hAnsi="Arial"/>
                <w:sz w:val="16"/>
              </w:rPr>
              <w:t>Shock only</w:t>
            </w:r>
          </w:p>
        </w:tc>
      </w:tr>
      <w:tr>
        <w:tc>
          <w:tcPr>
            <w:tcW w:type="dxa" w:w="5328"/>
            <w:tcMar>
              <w:top w:w="80" w:type="dxa"/>
              <w:start w:w="100" w:type="dxa"/>
              <w:bottom w:w="80" w:type="dxa"/>
              <w:end w:w="100" w:type="dxa"/>
            </w:tcMar>
            <w:shd w:fill="F3F6FA"/>
            <w:vAlign w:val="top"/>
          </w:tcPr>
          <w:p>
            <w:pPr>
              <w:spacing w:after="0"/>
            </w:pPr>
            <w:r/>
            <w:r>
              <w:rPr>
                <w:rFonts w:ascii="Arial" w:hAnsi="Arial"/>
                <w:sz w:val="16"/>
              </w:rPr>
              <w:t>NetBlocks</w:t>
            </w:r>
          </w:p>
        </w:tc>
        <w:tc>
          <w:tcPr>
            <w:tcW w:type="dxa" w:w="4896"/>
            <w:tcMar>
              <w:top w:w="80" w:type="dxa"/>
              <w:start w:w="100" w:type="dxa"/>
              <w:bottom w:w="80" w:type="dxa"/>
              <w:end w:w="100" w:type="dxa"/>
            </w:tcMar>
            <w:shd w:fill="F3F6FA"/>
            <w:vAlign w:val="top"/>
          </w:tcPr>
          <w:p>
            <w:pPr>
              <w:spacing w:after="0"/>
            </w:pPr>
            <w:r/>
            <w:r>
              <w:rPr>
                <w:rFonts w:ascii="Arial" w:hAnsi="Arial"/>
                <w:sz w:val="16"/>
              </w:rPr>
              <w:t>Context/shock</w:t>
            </w:r>
          </w:p>
        </w:tc>
      </w:tr>
      <w:tr>
        <w:tc>
          <w:tcPr>
            <w:tcW w:type="dxa" w:w="5328"/>
            <w:tcMar>
              <w:top w:w="80" w:type="dxa"/>
              <w:start w:w="100" w:type="dxa"/>
              <w:bottom w:w="80" w:type="dxa"/>
              <w:end w:w="100" w:type="dxa"/>
            </w:tcMar>
            <w:vAlign w:val="top"/>
          </w:tcPr>
          <w:p>
            <w:pPr>
              <w:spacing w:after="0"/>
            </w:pPr>
            <w:r/>
            <w:r>
              <w:rPr>
                <w:rFonts w:ascii="Arial" w:hAnsi="Arial"/>
                <w:sz w:val="16"/>
              </w:rPr>
              <w:t>OECD.AI accountability</w:t>
            </w:r>
          </w:p>
        </w:tc>
        <w:tc>
          <w:tcPr>
            <w:tcW w:type="dxa" w:w="4896"/>
            <w:tcMar>
              <w:top w:w="80" w:type="dxa"/>
              <w:start w:w="100" w:type="dxa"/>
              <w:bottom w:w="80" w:type="dxa"/>
              <w:end w:w="100" w:type="dxa"/>
            </w:tcMar>
            <w:vAlign w:val="top"/>
          </w:tcPr>
          <w:p>
            <w:pPr>
              <w:spacing w:after="0"/>
            </w:pPr>
            <w:r/>
            <w:r>
              <w:rPr>
                <w:rFonts w:ascii="Arial" w:hAnsi="Arial"/>
                <w:sz w:val="16"/>
              </w:rPr>
              <w:t>Add</w:t>
            </w:r>
          </w:p>
        </w:tc>
      </w:tr>
      <w:tr>
        <w:tc>
          <w:tcPr>
            <w:tcW w:type="dxa" w:w="5328"/>
            <w:tcMar>
              <w:top w:w="80" w:type="dxa"/>
              <w:start w:w="100" w:type="dxa"/>
              <w:bottom w:w="80" w:type="dxa"/>
              <w:end w:w="100" w:type="dxa"/>
            </w:tcMar>
            <w:shd w:fill="F3F6FA"/>
            <w:vAlign w:val="top"/>
          </w:tcPr>
          <w:p>
            <w:pPr>
              <w:spacing w:after="0"/>
            </w:pPr>
            <w:r/>
            <w:r>
              <w:rPr>
                <w:rFonts w:ascii="Arial" w:hAnsi="Arial"/>
                <w:sz w:val="16"/>
              </w:rPr>
              <w:t>Container throughput</w:t>
            </w:r>
          </w:p>
        </w:tc>
        <w:tc>
          <w:tcPr>
            <w:tcW w:type="dxa" w:w="4896"/>
            <w:tcMar>
              <w:top w:w="80" w:type="dxa"/>
              <w:start w:w="100" w:type="dxa"/>
              <w:bottom w:w="80" w:type="dxa"/>
              <w:end w:w="100" w:type="dxa"/>
            </w:tcMar>
            <w:shd w:fill="F3F6FA"/>
            <w:vAlign w:val="top"/>
          </w:tcPr>
          <w:p>
            <w:pPr>
              <w:spacing w:after="0"/>
            </w:pPr>
            <w:r/>
            <w:r>
              <w:rPr>
                <w:rFonts w:ascii="Arial" w:hAnsi="Arial"/>
                <w:sz w:val="16"/>
              </w:rPr>
              <w:t>Context/corroboration</w:t>
            </w:r>
          </w:p>
        </w:tc>
      </w:tr>
      <w:tr>
        <w:tc>
          <w:tcPr>
            <w:tcW w:type="dxa" w:w="5328"/>
            <w:tcMar>
              <w:top w:w="80" w:type="dxa"/>
              <w:start w:w="100" w:type="dxa"/>
              <w:bottom w:w="80" w:type="dxa"/>
              <w:end w:w="100" w:type="dxa"/>
            </w:tcMar>
            <w:vAlign w:val="top"/>
          </w:tcPr>
          <w:p>
            <w:pPr>
              <w:spacing w:after="0"/>
            </w:pPr>
            <w:r/>
            <w:r>
              <w:rPr>
                <w:rFonts w:ascii="Arial" w:hAnsi="Arial"/>
                <w:sz w:val="16"/>
              </w:rPr>
              <w:t>UNCTAD LSCI</w:t>
            </w:r>
          </w:p>
        </w:tc>
        <w:tc>
          <w:tcPr>
            <w:tcW w:type="dxa" w:w="4896"/>
            <w:tcMar>
              <w:top w:w="80" w:type="dxa"/>
              <w:start w:w="100" w:type="dxa"/>
              <w:bottom w:w="80" w:type="dxa"/>
              <w:end w:w="100" w:type="dxa"/>
            </w:tcMar>
            <w:vAlign w:val="top"/>
          </w:tcPr>
          <w:p>
            <w:pPr>
              <w:spacing w:after="0"/>
            </w:pPr>
            <w:r/>
            <w:r>
              <w:rPr>
                <w:rFonts w:ascii="Arial" w:hAnsi="Arial"/>
                <w:sz w:val="16"/>
              </w:rPr>
              <w:t>Retain</w:t>
            </w:r>
          </w:p>
        </w:tc>
      </w:tr>
      <w:tr>
        <w:tc>
          <w:tcPr>
            <w:tcW w:type="dxa" w:w="5328"/>
            <w:tcMar>
              <w:top w:w="80" w:type="dxa"/>
              <w:start w:w="100" w:type="dxa"/>
              <w:bottom w:w="80" w:type="dxa"/>
              <w:end w:w="100" w:type="dxa"/>
            </w:tcMar>
            <w:shd w:fill="F3F6FA"/>
            <w:vAlign w:val="top"/>
          </w:tcPr>
          <w:p>
            <w:pPr>
              <w:spacing w:after="0"/>
            </w:pPr>
            <w:r/>
            <w:r>
              <w:rPr>
                <w:rFonts w:ascii="Arial" w:hAnsi="Arial"/>
                <w:sz w:val="16"/>
              </w:rPr>
              <w:t>Operational compact evidence</w:t>
            </w:r>
          </w:p>
        </w:tc>
        <w:tc>
          <w:tcPr>
            <w:tcW w:type="dxa" w:w="4896"/>
            <w:tcMar>
              <w:top w:w="80" w:type="dxa"/>
              <w:start w:w="100" w:type="dxa"/>
              <w:bottom w:w="80" w:type="dxa"/>
              <w:end w:w="100" w:type="dxa"/>
            </w:tcMar>
            <w:shd w:fill="F3F6FA"/>
            <w:vAlign w:val="top"/>
          </w:tcPr>
          <w:p>
            <w:pPr>
              <w:spacing w:after="0"/>
            </w:pPr>
            <w:r/>
            <w:r>
              <w:rPr>
                <w:rFonts w:ascii="Arial" w:hAnsi="Arial"/>
                <w:sz w:val="16"/>
              </w:rPr>
              <w:t>Add</w:t>
            </w:r>
          </w:p>
        </w:tc>
      </w:tr>
      <w:tr>
        <w:tc>
          <w:tcPr>
            <w:tcW w:type="dxa" w:w="5328"/>
            <w:tcMar>
              <w:top w:w="80" w:type="dxa"/>
              <w:start w:w="100" w:type="dxa"/>
              <w:bottom w:w="80" w:type="dxa"/>
              <w:end w:w="100" w:type="dxa"/>
            </w:tcMar>
            <w:vAlign w:val="top"/>
          </w:tcPr>
          <w:p>
            <w:pPr>
              <w:spacing w:after="0"/>
            </w:pPr>
            <w:r/>
            <w:r>
              <w:rPr>
                <w:rFonts w:ascii="Arial" w:hAnsi="Arial"/>
                <w:sz w:val="16"/>
              </w:rPr>
              <w:t>M-Lab latency</w:t>
            </w:r>
          </w:p>
        </w:tc>
        <w:tc>
          <w:tcPr>
            <w:tcW w:type="dxa" w:w="4896"/>
            <w:tcMar>
              <w:top w:w="80" w:type="dxa"/>
              <w:start w:w="100" w:type="dxa"/>
              <w:bottom w:w="80" w:type="dxa"/>
              <w:end w:w="100" w:type="dxa"/>
            </w:tcMar>
            <w:vAlign w:val="top"/>
          </w:tcPr>
          <w:p>
            <w:pPr>
              <w:spacing w:after="0"/>
            </w:pPr>
            <w:r/>
            <w:r>
              <w:rPr>
                <w:rFonts w:ascii="Arial" w:hAnsi="Arial"/>
                <w:sz w:val="16"/>
              </w:rPr>
              <w:t>Demote</w:t>
            </w:r>
          </w:p>
        </w:tc>
      </w:tr>
      <w:tr>
        <w:tc>
          <w:tcPr>
            <w:tcW w:type="dxa" w:w="5328"/>
            <w:tcMar>
              <w:top w:w="80" w:type="dxa"/>
              <w:start w:w="100" w:type="dxa"/>
              <w:bottom w:w="80" w:type="dxa"/>
              <w:end w:w="100" w:type="dxa"/>
            </w:tcMar>
            <w:shd w:fill="F3F6FA"/>
            <w:vAlign w:val="top"/>
          </w:tcPr>
          <w:p>
            <w:pPr>
              <w:spacing w:after="0"/>
            </w:pPr>
            <w:r/>
            <w:r>
              <w:rPr>
                <w:rFonts w:ascii="Arial" w:hAnsi="Arial"/>
                <w:sz w:val="16"/>
              </w:rPr>
              <w:t>M-Lab download</w:t>
            </w:r>
          </w:p>
        </w:tc>
        <w:tc>
          <w:tcPr>
            <w:tcW w:type="dxa" w:w="4896"/>
            <w:tcMar>
              <w:top w:w="80" w:type="dxa"/>
              <w:start w:w="100" w:type="dxa"/>
              <w:bottom w:w="80" w:type="dxa"/>
              <w:end w:w="100" w:type="dxa"/>
            </w:tcMar>
            <w:shd w:fill="F3F6FA"/>
            <w:vAlign w:val="top"/>
          </w:tcPr>
          <w:p>
            <w:pPr>
              <w:spacing w:after="0"/>
            </w:pPr>
            <w:r/>
            <w:r>
              <w:rPr>
                <w:rFonts w:ascii="Arial" w:hAnsi="Arial"/>
                <w:sz w:val="16"/>
              </w:rPr>
              <w:t>Demote</w:t>
            </w:r>
          </w:p>
        </w:tc>
      </w:tr>
      <w:tr>
        <w:tc>
          <w:tcPr>
            <w:tcW w:type="dxa" w:w="5328"/>
            <w:tcMar>
              <w:top w:w="80" w:type="dxa"/>
              <w:start w:w="100" w:type="dxa"/>
              <w:bottom w:w="80" w:type="dxa"/>
              <w:end w:w="100" w:type="dxa"/>
            </w:tcMar>
            <w:vAlign w:val="top"/>
          </w:tcPr>
          <w:p>
            <w:pPr>
              <w:spacing w:after="0"/>
            </w:pPr>
            <w:r/>
            <w:r>
              <w:rPr>
                <w:rFonts w:ascii="Arial" w:hAnsi="Arial"/>
                <w:sz w:val="16"/>
              </w:rPr>
              <w:t>Epoch compute concentration</w:t>
            </w:r>
          </w:p>
        </w:tc>
        <w:tc>
          <w:tcPr>
            <w:tcW w:type="dxa" w:w="4896"/>
            <w:tcMar>
              <w:top w:w="80" w:type="dxa"/>
              <w:start w:w="100" w:type="dxa"/>
              <w:bottom w:w="80" w:type="dxa"/>
              <w:end w:w="100" w:type="dxa"/>
            </w:tcMar>
            <w:vAlign w:val="top"/>
          </w:tcPr>
          <w:p>
            <w:pPr>
              <w:spacing w:after="0"/>
            </w:pPr>
            <w:r/>
            <w:r>
              <w:rPr>
                <w:rFonts w:ascii="Arial" w:hAnsi="Arial"/>
                <w:sz w:val="16"/>
              </w:rPr>
              <w:t>Add, fragile</w:t>
            </w:r>
          </w:p>
        </w:tc>
      </w:tr>
      <w:tr>
        <w:tc>
          <w:tcPr>
            <w:tcW w:type="dxa" w:w="5328"/>
            <w:tcMar>
              <w:top w:w="80" w:type="dxa"/>
              <w:start w:w="100" w:type="dxa"/>
              <w:bottom w:w="80" w:type="dxa"/>
              <w:end w:w="100" w:type="dxa"/>
            </w:tcMar>
            <w:shd w:fill="F3F6FA"/>
            <w:vAlign w:val="top"/>
          </w:tcPr>
          <w:p>
            <w:pPr>
              <w:spacing w:after="0"/>
            </w:pPr>
            <w:r/>
            <w:r>
              <w:rPr>
                <w:rFonts w:ascii="Arial" w:hAnsi="Arial"/>
                <w:sz w:val="16"/>
              </w:rPr>
              <w:t>OECD AI cloud compute</w:t>
            </w:r>
          </w:p>
        </w:tc>
        <w:tc>
          <w:tcPr>
            <w:tcW w:type="dxa" w:w="4896"/>
            <w:tcMar>
              <w:top w:w="80" w:type="dxa"/>
              <w:start w:w="100" w:type="dxa"/>
              <w:bottom w:w="80" w:type="dxa"/>
              <w:end w:w="100" w:type="dxa"/>
            </w:tcMar>
            <w:shd w:fill="F3F6FA"/>
            <w:vAlign w:val="top"/>
          </w:tcPr>
          <w:p>
            <w:pPr>
              <w:spacing w:after="0"/>
            </w:pPr>
            <w:r/>
            <w:r>
              <w:rPr>
                <w:rFonts w:ascii="Arial" w:hAnsi="Arial"/>
                <w:sz w:val="16"/>
              </w:rPr>
              <w:t>Add</w:t>
            </w:r>
          </w:p>
        </w:tc>
      </w:tr>
      <w:tr>
        <w:tc>
          <w:tcPr>
            <w:tcW w:type="dxa" w:w="5328"/>
            <w:tcMar>
              <w:top w:w="80" w:type="dxa"/>
              <w:start w:w="100" w:type="dxa"/>
              <w:bottom w:w="80" w:type="dxa"/>
              <w:end w:w="100" w:type="dxa"/>
            </w:tcMar>
            <w:vAlign w:val="top"/>
          </w:tcPr>
          <w:p>
            <w:pPr>
              <w:spacing w:after="0"/>
            </w:pPr>
            <w:r/>
            <w:r>
              <w:rPr>
                <w:rFonts w:ascii="Arial" w:hAnsi="Arial"/>
                <w:sz w:val="16"/>
              </w:rPr>
              <w:t>OECD CLI</w:t>
            </w:r>
          </w:p>
        </w:tc>
        <w:tc>
          <w:tcPr>
            <w:tcW w:type="dxa" w:w="4896"/>
            <w:tcMar>
              <w:top w:w="80" w:type="dxa"/>
              <w:start w:w="100" w:type="dxa"/>
              <w:bottom w:w="80" w:type="dxa"/>
              <w:end w:w="100" w:type="dxa"/>
            </w:tcMar>
            <w:vAlign w:val="top"/>
          </w:tcPr>
          <w:p>
            <w:pPr>
              <w:spacing w:after="0"/>
            </w:pPr>
            <w:r/>
            <w:r>
              <w:rPr>
                <w:rFonts w:ascii="Arial" w:hAnsi="Arial"/>
                <w:sz w:val="16"/>
              </w:rPr>
              <w:t>Retain</w:t>
            </w:r>
          </w:p>
        </w:tc>
      </w:tr>
      <w:tr>
        <w:tc>
          <w:tcPr>
            <w:tcW w:type="dxa" w:w="5328"/>
            <w:tcMar>
              <w:top w:w="80" w:type="dxa"/>
              <w:start w:w="100" w:type="dxa"/>
              <w:bottom w:w="80" w:type="dxa"/>
              <w:end w:w="100" w:type="dxa"/>
            </w:tcMar>
            <w:shd w:fill="F3F6FA"/>
            <w:vAlign w:val="top"/>
          </w:tcPr>
          <w:p>
            <w:pPr>
              <w:spacing w:after="0"/>
            </w:pPr>
            <w:r/>
            <w:r>
              <w:rPr>
                <w:rFonts w:ascii="Arial" w:hAnsi="Arial"/>
                <w:sz w:val="16"/>
              </w:rPr>
              <w:t>IMF WEO</w:t>
            </w:r>
          </w:p>
        </w:tc>
        <w:tc>
          <w:tcPr>
            <w:tcW w:type="dxa" w:w="4896"/>
            <w:tcMar>
              <w:top w:w="80" w:type="dxa"/>
              <w:start w:w="100" w:type="dxa"/>
              <w:bottom w:w="80" w:type="dxa"/>
              <w:end w:w="100" w:type="dxa"/>
            </w:tcMar>
            <w:shd w:fill="F3F6FA"/>
            <w:vAlign w:val="top"/>
          </w:tcPr>
          <w:p>
            <w:pPr>
              <w:spacing w:after="0"/>
            </w:pPr>
            <w:r/>
            <w:r>
              <w:rPr>
                <w:rFonts w:ascii="Arial" w:hAnsi="Arial"/>
                <w:sz w:val="16"/>
              </w:rPr>
              <w:t>Retain</w:t>
            </w:r>
          </w:p>
        </w:tc>
      </w:tr>
      <w:tr>
        <w:tc>
          <w:tcPr>
            <w:tcW w:type="dxa" w:w="5328"/>
            <w:tcMar>
              <w:top w:w="80" w:type="dxa"/>
              <w:start w:w="100" w:type="dxa"/>
              <w:bottom w:w="80" w:type="dxa"/>
              <w:end w:w="100" w:type="dxa"/>
            </w:tcMar>
            <w:vAlign w:val="top"/>
          </w:tcPr>
          <w:p>
            <w:pPr>
              <w:spacing w:after="0"/>
            </w:pPr>
            <w:r/>
            <w:r>
              <w:rPr>
                <w:rFonts w:ascii="Arial" w:hAnsi="Arial"/>
                <w:sz w:val="16"/>
              </w:rPr>
              <w:t>ILO employment</w:t>
            </w:r>
          </w:p>
        </w:tc>
        <w:tc>
          <w:tcPr>
            <w:tcW w:type="dxa" w:w="4896"/>
            <w:tcMar>
              <w:top w:w="80" w:type="dxa"/>
              <w:start w:w="100" w:type="dxa"/>
              <w:bottom w:w="80" w:type="dxa"/>
              <w:end w:w="100" w:type="dxa"/>
            </w:tcMar>
            <w:vAlign w:val="top"/>
          </w:tcPr>
          <w:p>
            <w:pPr>
              <w:spacing w:after="0"/>
            </w:pPr>
            <w:r/>
            <w:r>
              <w:rPr>
                <w:rFonts w:ascii="Arial" w:hAnsi="Arial"/>
                <w:sz w:val="16"/>
              </w:rPr>
              <w:t>Move to Participation Flag</w:t>
            </w:r>
          </w:p>
        </w:tc>
      </w:tr>
      <w:tr>
        <w:tc>
          <w:tcPr>
            <w:tcW w:type="dxa" w:w="5328"/>
            <w:tcMar>
              <w:top w:w="80" w:type="dxa"/>
              <w:start w:w="100" w:type="dxa"/>
              <w:bottom w:w="80" w:type="dxa"/>
              <w:end w:w="100" w:type="dxa"/>
            </w:tcMar>
            <w:shd w:fill="F3F6FA"/>
            <w:vAlign w:val="top"/>
          </w:tcPr>
          <w:p>
            <w:pPr>
              <w:spacing w:after="0"/>
            </w:pPr>
            <w:r/>
            <w:r>
              <w:rPr>
                <w:rFonts w:ascii="Arial" w:hAnsi="Arial"/>
                <w:sz w:val="16"/>
              </w:rPr>
              <w:t>Labor income share</w:t>
            </w:r>
          </w:p>
        </w:tc>
        <w:tc>
          <w:tcPr>
            <w:tcW w:type="dxa" w:w="4896"/>
            <w:tcMar>
              <w:top w:w="80" w:type="dxa"/>
              <w:start w:w="100" w:type="dxa"/>
              <w:bottom w:w="80" w:type="dxa"/>
              <w:end w:w="100" w:type="dxa"/>
            </w:tcMar>
            <w:shd w:fill="F3F6FA"/>
            <w:vAlign w:val="top"/>
          </w:tcPr>
          <w:p>
            <w:pPr>
              <w:spacing w:after="0"/>
            </w:pPr>
            <w:r/>
            <w:r>
              <w:rPr>
                <w:rFonts w:ascii="Arial" w:hAnsi="Arial"/>
                <w:sz w:val="16"/>
              </w:rPr>
              <w:t>Add to Participation + Gate</w:t>
            </w:r>
          </w:p>
        </w:tc>
      </w:tr>
      <w:tr>
        <w:tc>
          <w:tcPr>
            <w:tcW w:type="dxa" w:w="5328"/>
            <w:tcMar>
              <w:top w:w="80" w:type="dxa"/>
              <w:start w:w="100" w:type="dxa"/>
              <w:bottom w:w="80" w:type="dxa"/>
              <w:end w:w="100" w:type="dxa"/>
            </w:tcMar>
            <w:vAlign w:val="top"/>
          </w:tcPr>
          <w:p>
            <w:pPr>
              <w:spacing w:after="0"/>
            </w:pPr>
            <w:r/>
            <w:r>
              <w:rPr>
                <w:rFonts w:ascii="Arial" w:hAnsi="Arial"/>
                <w:sz w:val="16"/>
              </w:rPr>
              <w:t>GPR</w:t>
            </w:r>
          </w:p>
        </w:tc>
        <w:tc>
          <w:tcPr>
            <w:tcW w:type="dxa" w:w="4896"/>
            <w:tcMar>
              <w:top w:w="80" w:type="dxa"/>
              <w:start w:w="100" w:type="dxa"/>
              <w:bottom w:w="80" w:type="dxa"/>
              <w:end w:w="100" w:type="dxa"/>
            </w:tcMar>
            <w:vAlign w:val="top"/>
          </w:tcPr>
          <w:p>
            <w:pPr>
              <w:spacing w:after="0"/>
            </w:pPr>
            <w:r/>
            <w:r>
              <w:rPr>
                <w:rFonts w:ascii="Arial" w:hAnsi="Arial"/>
                <w:sz w:val="16"/>
              </w:rPr>
              <w:t>Retain</w:t>
            </w:r>
          </w:p>
        </w:tc>
      </w:tr>
      <w:tr>
        <w:tc>
          <w:tcPr>
            <w:tcW w:type="dxa" w:w="5328"/>
            <w:tcMar>
              <w:top w:w="80" w:type="dxa"/>
              <w:start w:w="100" w:type="dxa"/>
              <w:bottom w:w="80" w:type="dxa"/>
              <w:end w:w="100" w:type="dxa"/>
            </w:tcMar>
            <w:shd w:fill="F3F6FA"/>
            <w:vAlign w:val="top"/>
          </w:tcPr>
          <w:p>
            <w:pPr>
              <w:spacing w:after="0"/>
            </w:pPr>
            <w:r/>
            <w:r>
              <w:rPr>
                <w:rFonts w:ascii="Arial" w:hAnsi="Arial"/>
                <w:sz w:val="16"/>
              </w:rPr>
              <w:t>Global Findex</w:t>
            </w:r>
          </w:p>
        </w:tc>
        <w:tc>
          <w:tcPr>
            <w:tcW w:type="dxa" w:w="4896"/>
            <w:tcMar>
              <w:top w:w="80" w:type="dxa"/>
              <w:start w:w="100" w:type="dxa"/>
              <w:bottom w:w="80" w:type="dxa"/>
              <w:end w:w="100" w:type="dxa"/>
            </w:tcMar>
            <w:shd w:fill="F3F6FA"/>
            <w:vAlign w:val="top"/>
          </w:tcPr>
          <w:p>
            <w:pPr>
              <w:spacing w:after="0"/>
            </w:pPr>
            <w:r/>
            <w:r>
              <w:rPr>
                <w:rFonts w:ascii="Arial" w:hAnsi="Arial"/>
                <w:sz w:val="16"/>
              </w:rPr>
              <w:t>Strengthen Gate</w:t>
            </w:r>
          </w:p>
        </w:tc>
      </w:tr>
      <w:tr>
        <w:tc>
          <w:tcPr>
            <w:tcW w:type="dxa" w:w="5328"/>
            <w:tcMar>
              <w:top w:w="80" w:type="dxa"/>
              <w:start w:w="100" w:type="dxa"/>
              <w:bottom w:w="80" w:type="dxa"/>
              <w:end w:w="100" w:type="dxa"/>
            </w:tcMar>
            <w:vAlign w:val="top"/>
          </w:tcPr>
          <w:p>
            <w:pPr>
              <w:spacing w:after="0"/>
            </w:pPr>
            <w:r/>
            <w:r>
              <w:rPr>
                <w:rFonts w:ascii="Arial" w:hAnsi="Arial"/>
                <w:sz w:val="16"/>
              </w:rPr>
              <w:t>World Bank inequality/shared prosperity</w:t>
            </w:r>
          </w:p>
        </w:tc>
        <w:tc>
          <w:tcPr>
            <w:tcW w:type="dxa" w:w="4896"/>
            <w:tcMar>
              <w:top w:w="80" w:type="dxa"/>
              <w:start w:w="100" w:type="dxa"/>
              <w:bottom w:w="80" w:type="dxa"/>
              <w:end w:w="100" w:type="dxa"/>
            </w:tcMar>
            <w:vAlign w:val="top"/>
          </w:tcPr>
          <w:p>
            <w:pPr>
              <w:spacing w:after="0"/>
            </w:pPr>
            <w:r/>
            <w:r>
              <w:rPr>
                <w:rFonts w:ascii="Arial" w:hAnsi="Arial"/>
                <w:sz w:val="16"/>
              </w:rPr>
              <w:t>Retain</w:t>
            </w:r>
          </w:p>
        </w:tc>
      </w:tr>
      <w:tr>
        <w:tc>
          <w:tcPr>
            <w:tcW w:type="dxa" w:w="5328"/>
            <w:tcMar>
              <w:top w:w="80" w:type="dxa"/>
              <w:start w:w="100" w:type="dxa"/>
              <w:bottom w:w="80" w:type="dxa"/>
              <w:end w:w="100" w:type="dxa"/>
            </w:tcMar>
            <w:shd w:fill="F3F6FA"/>
            <w:vAlign w:val="top"/>
          </w:tcPr>
          <w:p>
            <w:pPr>
              <w:spacing w:after="0"/>
            </w:pPr>
            <w:r/>
            <w:r>
              <w:rPr>
                <w:rFonts w:ascii="Arial" w:hAnsi="Arial"/>
                <w:sz w:val="16"/>
              </w:rPr>
              <w:t>WGI Government Effectiveness</w:t>
            </w:r>
          </w:p>
        </w:tc>
        <w:tc>
          <w:tcPr>
            <w:tcW w:type="dxa" w:w="4896"/>
            <w:tcMar>
              <w:top w:w="80" w:type="dxa"/>
              <w:start w:w="100" w:type="dxa"/>
              <w:bottom w:w="80" w:type="dxa"/>
              <w:end w:w="100" w:type="dxa"/>
            </w:tcMar>
            <w:shd w:fill="F3F6FA"/>
            <w:vAlign w:val="top"/>
          </w:tcPr>
          <w:p>
            <w:pPr>
              <w:spacing w:after="0"/>
            </w:pPr>
            <w:r/>
            <w:r>
              <w:rPr>
                <w:rFonts w:ascii="Arial" w:hAnsi="Arial"/>
                <w:sz w:val="16"/>
              </w:rPr>
              <w:t>Retain Tier 1</w:t>
            </w:r>
          </w:p>
        </w:tc>
      </w:tr>
      <w:tr>
        <w:tc>
          <w:tcPr>
            <w:tcW w:type="dxa" w:w="5328"/>
            <w:tcMar>
              <w:top w:w="80" w:type="dxa"/>
              <w:start w:w="100" w:type="dxa"/>
              <w:bottom w:w="80" w:type="dxa"/>
              <w:end w:w="100" w:type="dxa"/>
            </w:tcMar>
            <w:vAlign w:val="top"/>
          </w:tcPr>
          <w:p>
            <w:pPr>
              <w:spacing w:after="0"/>
            </w:pPr>
            <w:r/>
            <w:r>
              <w:rPr>
                <w:rFonts w:ascii="Arial" w:hAnsi="Arial"/>
                <w:sz w:val="16"/>
              </w:rPr>
              <w:t>Transparency International CPI</w:t>
            </w:r>
          </w:p>
        </w:tc>
        <w:tc>
          <w:tcPr>
            <w:tcW w:type="dxa" w:w="4896"/>
            <w:tcMar>
              <w:top w:w="80" w:type="dxa"/>
              <w:start w:w="100" w:type="dxa"/>
              <w:bottom w:w="80" w:type="dxa"/>
              <w:end w:w="100" w:type="dxa"/>
            </w:tcMar>
            <w:vAlign w:val="top"/>
          </w:tcPr>
          <w:p>
            <w:pPr>
              <w:spacing w:after="0"/>
            </w:pPr>
            <w:r/>
            <w:r>
              <w:rPr>
                <w:rFonts w:ascii="Arial" w:hAnsi="Arial"/>
                <w:sz w:val="16"/>
              </w:rPr>
              <w:t>Restore explicit Trust Basket</w:t>
            </w:r>
          </w:p>
        </w:tc>
      </w:tr>
      <w:tr>
        <w:tc>
          <w:tcPr>
            <w:tcW w:type="dxa" w:w="5328"/>
            <w:tcMar>
              <w:top w:w="80" w:type="dxa"/>
              <w:start w:w="100" w:type="dxa"/>
              <w:bottom w:w="80" w:type="dxa"/>
              <w:end w:w="100" w:type="dxa"/>
            </w:tcMar>
            <w:shd w:fill="F3F6FA"/>
            <w:vAlign w:val="top"/>
          </w:tcPr>
          <w:p>
            <w:pPr>
              <w:spacing w:after="0"/>
            </w:pPr>
            <w:r/>
            <w:r>
              <w:rPr>
                <w:rFonts w:ascii="Arial" w:hAnsi="Arial"/>
                <w:sz w:val="16"/>
              </w:rPr>
              <w:t>Freedom House</w:t>
            </w:r>
          </w:p>
        </w:tc>
        <w:tc>
          <w:tcPr>
            <w:tcW w:type="dxa" w:w="4896"/>
            <w:tcMar>
              <w:top w:w="80" w:type="dxa"/>
              <w:start w:w="100" w:type="dxa"/>
              <w:bottom w:w="80" w:type="dxa"/>
              <w:end w:w="100" w:type="dxa"/>
            </w:tcMar>
            <w:shd w:fill="F3F6FA"/>
            <w:vAlign w:val="top"/>
          </w:tcPr>
          <w:p>
            <w:pPr>
              <w:spacing w:after="0"/>
            </w:pPr>
            <w:r/>
            <w:r>
              <w:rPr>
                <w:rFonts w:ascii="Arial" w:hAnsi="Arial"/>
                <w:sz w:val="16"/>
              </w:rPr>
              <w:t>Restore explicit Trust Basket</w:t>
            </w:r>
          </w:p>
        </w:tc>
      </w:tr>
      <w:tr>
        <w:tc>
          <w:tcPr>
            <w:tcW w:type="dxa" w:w="5328"/>
            <w:tcMar>
              <w:top w:w="80" w:type="dxa"/>
              <w:start w:w="100" w:type="dxa"/>
              <w:bottom w:w="80" w:type="dxa"/>
              <w:end w:w="100" w:type="dxa"/>
            </w:tcMar>
            <w:vAlign w:val="top"/>
          </w:tcPr>
          <w:p>
            <w:pPr>
              <w:spacing w:after="0"/>
            </w:pPr>
            <w:r/>
            <w:r>
              <w:rPr>
                <w:rFonts w:ascii="Arial" w:hAnsi="Arial"/>
                <w:sz w:val="16"/>
              </w:rPr>
              <w:t>Gallup institutional confidence</w:t>
            </w:r>
          </w:p>
        </w:tc>
        <w:tc>
          <w:tcPr>
            <w:tcW w:type="dxa" w:w="4896"/>
            <w:tcMar>
              <w:top w:w="80" w:type="dxa"/>
              <w:start w:w="100" w:type="dxa"/>
              <w:bottom w:w="80" w:type="dxa"/>
              <w:end w:w="100" w:type="dxa"/>
            </w:tcMar>
            <w:vAlign w:val="top"/>
          </w:tcPr>
          <w:p>
            <w:pPr>
              <w:spacing w:after="0"/>
            </w:pPr>
            <w:r/>
            <w:r>
              <w:rPr>
                <w:rFonts w:ascii="Arial" w:hAnsi="Arial"/>
                <w:sz w:val="16"/>
              </w:rPr>
              <w:t>Restore/add Trust Basket</w:t>
            </w:r>
          </w:p>
        </w:tc>
      </w:tr>
      <w:tr>
        <w:tc>
          <w:tcPr>
            <w:tcW w:type="dxa" w:w="5328"/>
            <w:tcMar>
              <w:top w:w="80" w:type="dxa"/>
              <w:start w:w="100" w:type="dxa"/>
              <w:bottom w:w="80" w:type="dxa"/>
              <w:end w:w="100" w:type="dxa"/>
            </w:tcMar>
            <w:shd w:fill="F3F6FA"/>
            <w:vAlign w:val="top"/>
          </w:tcPr>
          <w:p>
            <w:pPr>
              <w:spacing w:after="0"/>
            </w:pPr>
            <w:r/>
            <w:r>
              <w:rPr>
                <w:rFonts w:ascii="Arial" w:hAnsi="Arial"/>
                <w:sz w:val="16"/>
              </w:rPr>
              <w:t>Real GDP growth</w:t>
            </w:r>
          </w:p>
        </w:tc>
        <w:tc>
          <w:tcPr>
            <w:tcW w:type="dxa" w:w="4896"/>
            <w:tcMar>
              <w:top w:w="80" w:type="dxa"/>
              <w:start w:w="100" w:type="dxa"/>
              <w:bottom w:w="80" w:type="dxa"/>
              <w:end w:w="100" w:type="dxa"/>
            </w:tcMar>
            <w:shd w:fill="F3F6FA"/>
            <w:vAlign w:val="top"/>
          </w:tcPr>
          <w:p>
            <w:pPr>
              <w:spacing w:after="0"/>
            </w:pPr>
            <w:r/>
            <w:r>
              <w:rPr>
                <w:rFonts w:ascii="Arial" w:hAnsi="Arial"/>
                <w:sz w:val="16"/>
              </w:rPr>
              <w:t>Explicit Macro Panel</w:t>
            </w:r>
          </w:p>
        </w:tc>
      </w:tr>
      <w:tr>
        <w:tc>
          <w:tcPr>
            <w:tcW w:type="dxa" w:w="5328"/>
            <w:tcMar>
              <w:top w:w="80" w:type="dxa"/>
              <w:start w:w="100" w:type="dxa"/>
              <w:bottom w:w="80" w:type="dxa"/>
              <w:end w:w="100" w:type="dxa"/>
            </w:tcMar>
            <w:vAlign w:val="top"/>
          </w:tcPr>
          <w:p>
            <w:pPr>
              <w:spacing w:after="0"/>
            </w:pPr>
            <w:r/>
            <w:r>
              <w:rPr>
                <w:rFonts w:ascii="Arial" w:hAnsi="Arial"/>
                <w:sz w:val="16"/>
              </w:rPr>
              <w:t>Real GDP per capita growth</w:t>
            </w:r>
          </w:p>
        </w:tc>
        <w:tc>
          <w:tcPr>
            <w:tcW w:type="dxa" w:w="4896"/>
            <w:tcMar>
              <w:top w:w="80" w:type="dxa"/>
              <w:start w:w="100" w:type="dxa"/>
              <w:bottom w:w="80" w:type="dxa"/>
              <w:end w:w="100" w:type="dxa"/>
            </w:tcMar>
            <w:vAlign w:val="top"/>
          </w:tcPr>
          <w:p>
            <w:pPr>
              <w:spacing w:after="0"/>
            </w:pPr>
            <w:r/>
            <w:r>
              <w:rPr>
                <w:rFonts w:ascii="Arial" w:hAnsi="Arial"/>
                <w:sz w:val="16"/>
              </w:rPr>
              <w:t>Explicit Macro Panel</w:t>
            </w:r>
          </w:p>
        </w:tc>
      </w:tr>
      <w:tr>
        <w:tc>
          <w:tcPr>
            <w:tcW w:type="dxa" w:w="5328"/>
            <w:tcMar>
              <w:top w:w="80" w:type="dxa"/>
              <w:start w:w="100" w:type="dxa"/>
              <w:bottom w:w="80" w:type="dxa"/>
              <w:end w:w="100" w:type="dxa"/>
            </w:tcMar>
            <w:shd w:fill="F3F6FA"/>
            <w:vAlign w:val="top"/>
          </w:tcPr>
          <w:p>
            <w:pPr>
              <w:spacing w:after="0"/>
            </w:pPr>
            <w:r/>
            <w:r>
              <w:rPr>
                <w:rFonts w:ascii="Arial" w:hAnsi="Arial"/>
                <w:sz w:val="16"/>
              </w:rPr>
              <w:t>Labor productivity growth</w:t>
            </w:r>
          </w:p>
        </w:tc>
        <w:tc>
          <w:tcPr>
            <w:tcW w:type="dxa" w:w="4896"/>
            <w:tcMar>
              <w:top w:w="80" w:type="dxa"/>
              <w:start w:w="100" w:type="dxa"/>
              <w:bottom w:w="80" w:type="dxa"/>
              <w:end w:w="100" w:type="dxa"/>
            </w:tcMar>
            <w:shd w:fill="F3F6FA"/>
            <w:vAlign w:val="top"/>
          </w:tcPr>
          <w:p>
            <w:pPr>
              <w:spacing w:after="0"/>
            </w:pPr>
            <w:r/>
            <w:r>
              <w:rPr>
                <w:rFonts w:ascii="Arial" w:hAnsi="Arial"/>
                <w:sz w:val="16"/>
              </w:rPr>
              <w:t>Explicit Macro Panel</w:t>
            </w:r>
          </w:p>
        </w:tc>
      </w:tr>
    </w:tbl>
    <w:p>
      <w:pPr>
        <w:spacing w:after="40"/>
      </w:pPr>
    </w:p>
    <w:p>
      <w:pPr>
        <w:pStyle w:val="Heading1"/>
        <w:spacing w:after="120" w:line="259" w:lineRule="auto"/>
      </w:pPr>
      <w:r>
        <w:rPr>
          <w:rFonts w:ascii="Arial" w:hAnsi="Arial"/>
        </w:rPr>
        <w:t>23. Source burden</w:t>
      </w:r>
    </w:p>
    <w:p>
      <w:pPr>
        <w:spacing w:after="120" w:line="259" w:lineRule="auto"/>
      </w:pPr>
      <w:r>
        <w:rPr>
          <w:rFonts w:ascii="Arial" w:hAnsi="Arial"/>
        </w:rPr>
        <w:t>The recurring architecture remains deliberately compact. Principal source families are:</w:t>
      </w:r>
    </w:p>
    <w:p>
      <w:pPr>
        <w:spacing w:after="40"/>
        <w:ind w:left="259" w:hanging="259"/>
      </w:pPr>
      <w:r>
        <w:rPr>
          <w:rFonts w:ascii="Arial" w:hAnsi="Arial"/>
        </w:rPr>
        <w:t>1.  IEA and fixed grid operators</w:t>
      </w:r>
    </w:p>
    <w:p>
      <w:pPr>
        <w:spacing w:after="40"/>
        <w:ind w:left="259" w:hanging="259"/>
      </w:pPr>
      <w:r>
        <w:rPr>
          <w:rFonts w:ascii="Arial" w:hAnsi="Arial"/>
        </w:rPr>
        <w:t>2.  WHO</w:t>
      </w:r>
    </w:p>
    <w:p>
      <w:pPr>
        <w:spacing w:after="40"/>
        <w:ind w:left="259" w:hanging="259"/>
      </w:pPr>
      <w:r>
        <w:rPr>
          <w:rFonts w:ascii="Arial" w:hAnsi="Arial"/>
        </w:rPr>
        <w:t>3.  OECD</w:t>
      </w:r>
    </w:p>
    <w:p>
      <w:pPr>
        <w:spacing w:after="40"/>
        <w:ind w:left="259" w:hanging="259"/>
      </w:pPr>
      <w:r>
        <w:rPr>
          <w:rFonts w:ascii="Arial" w:hAnsi="Arial"/>
        </w:rPr>
        <w:t>4.  OECD.AI</w:t>
      </w:r>
    </w:p>
    <w:p>
      <w:pPr>
        <w:spacing w:after="40"/>
        <w:ind w:left="259" w:hanging="259"/>
      </w:pPr>
      <w:r>
        <w:rPr>
          <w:rFonts w:ascii="Arial" w:hAnsi="Arial"/>
        </w:rPr>
        <w:t>5.  UNCTAD</w:t>
      </w:r>
    </w:p>
    <w:p>
      <w:pPr>
        <w:spacing w:after="40"/>
        <w:ind w:left="259" w:hanging="259"/>
      </w:pPr>
      <w:r>
        <w:rPr>
          <w:rFonts w:ascii="Arial" w:hAnsi="Arial"/>
        </w:rPr>
        <w:t>6.  Epoch AI</w:t>
      </w:r>
    </w:p>
    <w:p>
      <w:pPr>
        <w:spacing w:after="40"/>
        <w:ind w:left="259" w:hanging="259"/>
      </w:pPr>
      <w:r>
        <w:rPr>
          <w:rFonts w:ascii="Arial" w:hAnsi="Arial"/>
        </w:rPr>
        <w:t>7.  ILOSTAT</w:t>
      </w:r>
    </w:p>
    <w:p>
      <w:pPr>
        <w:spacing w:after="40"/>
        <w:ind w:left="259" w:hanging="259"/>
      </w:pPr>
      <w:r>
        <w:rPr>
          <w:rFonts w:ascii="Arial" w:hAnsi="Arial"/>
        </w:rPr>
        <w:t>8.  World Bank</w:t>
      </w:r>
    </w:p>
    <w:p>
      <w:pPr>
        <w:spacing w:after="40"/>
        <w:ind w:left="259" w:hanging="259"/>
      </w:pPr>
      <w:r>
        <w:rPr>
          <w:rFonts w:ascii="Arial" w:hAnsi="Arial"/>
        </w:rPr>
        <w:t>9.  IMF</w:t>
      </w:r>
    </w:p>
    <w:p>
      <w:pPr>
        <w:spacing w:after="40"/>
        <w:ind w:left="259" w:hanging="259"/>
      </w:pPr>
      <w:r>
        <w:rPr>
          <w:rFonts w:ascii="Arial" w:hAnsi="Arial"/>
        </w:rPr>
        <w:t>10.  Freedom House</w:t>
      </w:r>
    </w:p>
    <w:p>
      <w:pPr>
        <w:spacing w:after="40"/>
        <w:ind w:left="259" w:hanging="259"/>
      </w:pPr>
      <w:r>
        <w:rPr>
          <w:rFonts w:ascii="Arial" w:hAnsi="Arial"/>
        </w:rPr>
        <w:t>11.  Transparency International</w:t>
      </w:r>
    </w:p>
    <w:p>
      <w:pPr>
        <w:spacing w:after="40"/>
        <w:ind w:left="259" w:hanging="259"/>
      </w:pPr>
      <w:r>
        <w:rPr>
          <w:rFonts w:ascii="Arial" w:hAnsi="Arial"/>
        </w:rPr>
        <w:t>12.  publicly available Gallup/OECD trust aggregates</w:t>
      </w:r>
    </w:p>
    <w:p>
      <w:pPr>
        <w:spacing w:after="40"/>
        <w:ind w:left="259" w:hanging="259"/>
      </w:pPr>
      <w:r>
        <w:rPr>
          <w:rFonts w:ascii="Arial" w:hAnsi="Arial"/>
        </w:rPr>
        <w:t>13.  Geopolitical Risk dataset</w:t>
      </w:r>
    </w:p>
    <w:p>
      <w:pPr>
        <w:spacing w:after="120" w:line="259" w:lineRule="auto"/>
      </w:pPr>
      <w:r>
        <w:rPr>
          <w:rFonts w:ascii="Arial" w:hAnsi="Arial"/>
        </w:rPr>
        <w:t>Many of these already existed in v11.9. The increase in provider count is therefore modest, while several weaker recurring feeds disappear.</w:t>
      </w:r>
    </w:p>
    <w:p>
      <w:pPr>
        <w:pStyle w:val="Heading1"/>
        <w:spacing w:after="120" w:line="259" w:lineRule="auto"/>
      </w:pPr>
      <w:r>
        <w:rPr>
          <w:rFonts w:ascii="Arial" w:hAnsi="Arial"/>
        </w:rPr>
        <w:t>24. Transition from v11.9 to v12</w:t>
      </w:r>
    </w:p>
    <w:p>
      <w:pPr>
        <w:spacing w:after="120" w:line="259" w:lineRule="auto"/>
      </w:pPr>
      <w:r>
        <w:rPr>
          <w:rFonts w:ascii="Arial" w:hAnsi="Arial"/>
        </w:rPr>
        <w:t>The final Autumn 2026 v11.9 run remains permanently recorded as the closing v11.9 result. It will not be retrospectively recalculated under v12.</w:t>
      </w:r>
    </w:p>
    <w:p>
      <w:pPr>
        <w:spacing w:after="120" w:line="259" w:lineRule="auto"/>
      </w:pPr>
      <w:r>
        <w:rPr>
          <w:rFonts w:ascii="Arial" w:hAnsi="Arial"/>
        </w:rPr>
        <w:t>The first v12 report will:</w:t>
      </w:r>
    </w:p>
    <w:p>
      <w:pPr>
        <w:spacing w:after="40"/>
        <w:ind w:left="259" w:hanging="259"/>
      </w:pPr>
      <w:r>
        <w:rPr>
          <w:rFonts w:ascii="Arial" w:hAnsi="Arial"/>
        </w:rPr>
        <w:t>1.  inherit the final v11.9 conditional DTR and LIR outcome probabilities;</w:t>
      </w:r>
    </w:p>
    <w:p>
      <w:pPr>
        <w:spacing w:after="40"/>
        <w:ind w:left="259" w:hanging="259"/>
      </w:pPr>
      <w:r>
        <w:rPr>
          <w:rFonts w:ascii="Arial" w:hAnsi="Arial"/>
        </w:rPr>
        <w:t>2.  establish baseline readings for all new/replacement indicators;</w:t>
      </w:r>
    </w:p>
    <w:p>
      <w:pPr>
        <w:spacing w:after="40"/>
        <w:ind w:left="259" w:hanging="259"/>
      </w:pPr>
      <w:r>
        <w:rPr>
          <w:rFonts w:ascii="Arial" w:hAnsi="Arial"/>
        </w:rPr>
        <w:t>3.  establish the Structural Trust Basket baseline;</w:t>
      </w:r>
    </w:p>
    <w:p>
      <w:pPr>
        <w:spacing w:after="40"/>
        <w:ind w:left="259" w:hanging="259"/>
      </w:pPr>
      <w:r>
        <w:rPr>
          <w:rFonts w:ascii="Arial" w:hAnsi="Arial"/>
        </w:rPr>
        <w:t>4.  establish the Macro Performance Panel baseline;</w:t>
      </w:r>
    </w:p>
    <w:p>
      <w:pPr>
        <w:spacing w:after="40"/>
        <w:ind w:left="259" w:hanging="259"/>
      </w:pPr>
      <w:r>
        <w:rPr>
          <w:rFonts w:ascii="Arial" w:hAnsi="Arial"/>
        </w:rPr>
        <w:t>5.  establish the Participation Stress baseline;</w:t>
      </w:r>
    </w:p>
    <w:p>
      <w:pPr>
        <w:spacing w:after="40"/>
        <w:ind w:left="259" w:hanging="259"/>
      </w:pPr>
      <w:r>
        <w:rPr>
          <w:rFonts w:ascii="Arial" w:hAnsi="Arial"/>
        </w:rPr>
        <w:t>6.  establish the first formal DTR/LIR Posture Likelihood;</w:t>
      </w:r>
    </w:p>
    <w:p>
      <w:pPr>
        <w:spacing w:after="40"/>
        <w:ind w:left="259" w:hanging="259"/>
      </w:pPr>
      <w:r>
        <w:rPr>
          <w:rFonts w:ascii="Arial" w:hAnsi="Arial"/>
        </w:rPr>
        <w:t>7.  calculate the blended outcome probabilities;</w:t>
      </w:r>
    </w:p>
    <w:p>
      <w:pPr>
        <w:spacing w:after="40"/>
        <w:ind w:left="259" w:hanging="259"/>
      </w:pPr>
      <w:r>
        <w:rPr>
          <w:rFonts w:ascii="Arial" w:hAnsi="Arial"/>
        </w:rPr>
        <w:t>8.  record the Wealth-Diffusion Gate status;</w:t>
      </w:r>
    </w:p>
    <w:p>
      <w:pPr>
        <w:spacing w:after="40"/>
        <w:ind w:left="259" w:hanging="259"/>
      </w:pPr>
      <w:r>
        <w:rPr>
          <w:rFonts w:ascii="Arial" w:hAnsi="Arial"/>
        </w:rPr>
        <w:t>9.  log all newly introduced indicators as baseline observations, not probability-moving evidence.</w:t>
      </w:r>
    </w:p>
    <w:p>
      <w:pPr>
        <w:spacing w:after="120" w:line="259" w:lineRule="auto"/>
      </w:pPr>
      <w:r>
        <w:rPr>
          <w:rFonts w:ascii="Arial" w:hAnsi="Arial"/>
        </w:rPr>
        <w:t>A replacement indicator cannot produce an immediate probability movement simply because its initial baseline happens to look favorable or unfavorable.</w:t>
      </w:r>
    </w:p>
    <w:p>
      <w:pPr>
        <w:spacing w:before="100" w:after="200"/>
        <w:jc w:val="center"/>
      </w:pPr>
      <w:r>
        <w:rPr>
          <w:rFonts w:ascii="Arial" w:hAnsi="Arial"/>
          <w:b/>
          <w:i/>
          <w:color w:val="17365D"/>
          <w:sz w:val="22"/>
        </w:rPr>
        <w:t>Changing the measurement architecture does not imply that the world changed at the same moment.</w:t>
      </w:r>
    </w:p>
    <w:p>
      <w:pPr>
        <w:pStyle w:val="Heading1"/>
        <w:spacing w:after="120" w:line="259" w:lineRule="auto"/>
      </w:pPr>
      <w:r>
        <w:rPr>
          <w:rFonts w:ascii="Arial" w:hAnsi="Arial"/>
        </w:rPr>
        <w:t>25. First v12 publication</w:t>
      </w:r>
    </w:p>
    <w:p>
      <w:pPr>
        <w:spacing w:after="120" w:line="259" w:lineRule="auto"/>
      </w:pPr>
      <w:r>
        <w:rPr>
          <w:rFonts w:ascii="Arial" w:hAnsi="Arial"/>
        </w:rPr>
        <w:t>The first report should be titled Grey Swan / Archimedes v12.0: Baseline and Transition Report rather than being presented as a routine update.</w:t>
      </w:r>
    </w:p>
    <w:p>
      <w:pPr>
        <w:spacing w:after="120" w:line="259" w:lineRule="auto"/>
      </w:pPr>
      <w:r>
        <w:rPr>
          <w:rFonts w:ascii="Arial" w:hAnsi="Arial"/>
        </w:rPr>
        <w:t>It should contain:</w:t>
      </w:r>
    </w:p>
    <w:p>
      <w:pPr>
        <w:pStyle w:val="ListBullet"/>
        <w:spacing w:after="40" w:line="252" w:lineRule="auto"/>
      </w:pPr>
      <w:r>
        <w:rPr>
          <w:rFonts w:ascii="Arial" w:hAnsi="Arial"/>
        </w:rPr>
        <w:t>final v11.9 conditional probabilities;</w:t>
      </w:r>
    </w:p>
    <w:p>
      <w:pPr>
        <w:pStyle w:val="ListBullet"/>
        <w:spacing w:after="40" w:line="252" w:lineRule="auto"/>
      </w:pPr>
      <w:r>
        <w:rPr>
          <w:rFonts w:ascii="Arial" w:hAnsi="Arial"/>
        </w:rPr>
        <w:t>v12 source and indicator manifest;</w:t>
      </w:r>
    </w:p>
    <w:p>
      <w:pPr>
        <w:pStyle w:val="ListBullet"/>
        <w:spacing w:after="40" w:line="252" w:lineRule="auto"/>
      </w:pPr>
      <w:r>
        <w:rPr>
          <w:rFonts w:ascii="Arial" w:hAnsi="Arial"/>
        </w:rPr>
        <w:t>Structural Trust Basket;</w:t>
      </w:r>
    </w:p>
    <w:p>
      <w:pPr>
        <w:pStyle w:val="ListBullet"/>
        <w:spacing w:after="40" w:line="252" w:lineRule="auto"/>
      </w:pPr>
      <w:r>
        <w:rPr>
          <w:rFonts w:ascii="Arial" w:hAnsi="Arial"/>
        </w:rPr>
        <w:t>Macro Performance Panel;</w:t>
      </w:r>
    </w:p>
    <w:p>
      <w:pPr>
        <w:pStyle w:val="ListBullet"/>
        <w:spacing w:after="40" w:line="252" w:lineRule="auto"/>
      </w:pPr>
      <w:r>
        <w:rPr>
          <w:rFonts w:ascii="Arial" w:hAnsi="Arial"/>
        </w:rPr>
        <w:t>Growth-Diffusion Test;</w:t>
      </w:r>
    </w:p>
    <w:p>
      <w:pPr>
        <w:pStyle w:val="ListBullet"/>
        <w:spacing w:after="40" w:line="252" w:lineRule="auto"/>
      </w:pPr>
      <w:r>
        <w:rPr>
          <w:rFonts w:ascii="Arial" w:hAnsi="Arial"/>
        </w:rPr>
        <w:t>six lever baselines;</w:t>
      </w:r>
    </w:p>
    <w:p>
      <w:pPr>
        <w:pStyle w:val="ListBullet"/>
        <w:spacing w:after="40" w:line="252" w:lineRule="auto"/>
      </w:pPr>
      <w:r>
        <w:rPr>
          <w:rFonts w:ascii="Arial" w:hAnsi="Arial"/>
        </w:rPr>
        <w:t>four flag statuses;</w:t>
      </w:r>
    </w:p>
    <w:p>
      <w:pPr>
        <w:pStyle w:val="ListBullet"/>
        <w:spacing w:after="40" w:line="252" w:lineRule="auto"/>
      </w:pPr>
      <w:r>
        <w:rPr>
          <w:rFonts w:ascii="Arial" w:hAnsi="Arial"/>
        </w:rPr>
        <w:t>Wealth-Diffusion Gate;</w:t>
      </w:r>
    </w:p>
    <w:p>
      <w:pPr>
        <w:pStyle w:val="ListBullet"/>
        <w:spacing w:after="40" w:line="252" w:lineRule="auto"/>
      </w:pPr>
      <w:r>
        <w:rPr>
          <w:rFonts w:ascii="Arial" w:hAnsi="Arial"/>
        </w:rPr>
        <w:t>baseline DTR/LIR posture probability;</w:t>
      </w:r>
    </w:p>
    <w:p>
      <w:pPr>
        <w:pStyle w:val="ListBullet"/>
        <w:spacing w:after="40" w:line="252" w:lineRule="auto"/>
      </w:pPr>
      <w:r>
        <w:rPr>
          <w:rFonts w:ascii="Arial" w:hAnsi="Arial"/>
        </w:rPr>
        <w:t>conditional outcome tables;</w:t>
      </w:r>
    </w:p>
    <w:p>
      <w:pPr>
        <w:pStyle w:val="ListBullet"/>
        <w:spacing w:after="40" w:line="252" w:lineRule="auto"/>
      </w:pPr>
      <w:r>
        <w:rPr>
          <w:rFonts w:ascii="Arial" w:hAnsi="Arial"/>
        </w:rPr>
        <w:t>blended real-world outcome table;</w:t>
      </w:r>
    </w:p>
    <w:p>
      <w:pPr>
        <w:pStyle w:val="ListBullet"/>
        <w:spacing w:after="40" w:line="252" w:lineRule="auto"/>
      </w:pPr>
      <w:r>
        <w:rPr>
          <w:rFonts w:ascii="Arial" w:hAnsi="Arial"/>
        </w:rPr>
        <w:t>transition move log.</w:t>
      </w:r>
    </w:p>
    <w:p>
      <w:pPr>
        <w:spacing w:after="120" w:line="259" w:lineRule="auto"/>
      </w:pPr>
      <w:r>
        <w:rPr>
          <w:rFonts w:ascii="Arial" w:hAnsi="Arial"/>
        </w:rPr>
        <w:t>Only the subsequent Spring/Autumn run would be a fully normal v12 update.</w:t>
      </w:r>
    </w:p>
    <w:p>
      <w:pPr>
        <w:pStyle w:val="Heading1"/>
        <w:spacing w:after="120" w:line="259" w:lineRule="auto"/>
      </w:pPr>
      <w:r>
        <w:rPr>
          <w:rFonts w:ascii="Arial" w:hAnsi="Arial"/>
        </w:rPr>
        <w:t>26. Version control</w:t>
      </w:r>
    </w:p>
    <w:p>
      <w:pPr>
        <w:spacing w:after="120" w:line="259" w:lineRule="auto"/>
      </w:pPr>
      <w:r>
        <w:rPr>
          <w:rFonts w:ascii="Arial" w:hAnsi="Arial"/>
        </w:rPr>
        <w:t>The distinction between architecture and runs should be explicit.</w:t>
      </w:r>
    </w:p>
    <w:p>
      <w:pPr>
        <w:pStyle w:val="ListBullet"/>
        <w:spacing w:after="40" w:line="252" w:lineRule="auto"/>
      </w:pPr>
      <w:r>
        <w:rPr>
          <w:rFonts w:ascii="Arial" w:hAnsi="Arial"/>
        </w:rPr>
        <w:t>v12.0 = methodological architecture.</w:t>
      </w:r>
    </w:p>
    <w:p>
      <w:pPr>
        <w:pStyle w:val="ListBullet"/>
        <w:spacing w:after="40" w:line="252" w:lineRule="auto"/>
      </w:pPr>
      <w:r>
        <w:rPr>
          <w:rFonts w:ascii="Arial" w:hAnsi="Arial"/>
        </w:rPr>
        <w:t>v12.0-R1 = baseline transition run.</w:t>
      </w:r>
    </w:p>
    <w:p>
      <w:pPr>
        <w:pStyle w:val="ListBullet"/>
        <w:spacing w:after="40" w:line="252" w:lineRule="auto"/>
      </w:pPr>
      <w:r>
        <w:rPr>
          <w:rFonts w:ascii="Arial" w:hAnsi="Arial"/>
        </w:rPr>
        <w:t>v12.0-R2 = first ordinary update.</w:t>
      </w:r>
    </w:p>
    <w:p>
      <w:pPr>
        <w:pStyle w:val="ListBullet"/>
        <w:spacing w:after="40" w:line="252" w:lineRule="auto"/>
      </w:pPr>
      <w:r>
        <w:rPr>
          <w:rFonts w:ascii="Arial" w:hAnsi="Arial"/>
        </w:rPr>
        <w:t>v12.0-R3, etc. = subsequent ordinary runs.</w:t>
      </w:r>
    </w:p>
    <w:p>
      <w:pPr>
        <w:spacing w:after="120" w:line="259" w:lineRule="auto"/>
      </w:pPr>
      <w:r>
        <w:rPr>
          <w:rFonts w:ascii="Arial" w:hAnsi="Arial"/>
        </w:rPr>
        <w:t>A move to v12.1 or v13 occurs only when indicators, rules, thresholds or model structure change.</w:t>
      </w:r>
    </w:p>
    <w:p>
      <w:pPr>
        <w:pStyle w:val="Heading1"/>
        <w:spacing w:after="120" w:line="259" w:lineRule="auto"/>
      </w:pPr>
      <w:r>
        <w:rPr>
          <w:rFonts w:ascii="Arial" w:hAnsi="Arial"/>
        </w:rPr>
        <w:t>27. Audit additions</w:t>
      </w:r>
    </w:p>
    <w:p>
      <w:pPr>
        <w:spacing w:after="120" w:line="259" w:lineRule="auto"/>
      </w:pPr>
      <w:r>
        <w:rPr>
          <w:rFonts w:ascii="Arial" w:hAnsi="Arial"/>
        </w:rPr>
        <w:t>Four new audit rules are added.</w:t>
      </w:r>
    </w:p>
    <w:p>
      <w:pPr>
        <w:pStyle w:val="Heading2"/>
        <w:spacing w:after="120" w:line="259" w:lineRule="auto"/>
      </w:pPr>
      <w:r>
        <w:rPr>
          <w:rFonts w:ascii="Arial" w:hAnsi="Arial"/>
        </w:rPr>
        <w:t>Family rule</w:t>
      </w:r>
    </w:p>
    <w:p>
      <w:pPr>
        <w:spacing w:after="120" w:line="259" w:lineRule="auto"/>
      </w:pPr>
      <w:r>
        <w:rPr>
          <w:rFonts w:ascii="Arial" w:hAnsi="Arial"/>
        </w:rPr>
        <w:t>Several related indicators do not count as independent corroboration if they measure the same underlying phenomenon.</w:t>
      </w:r>
    </w:p>
    <w:p>
      <w:pPr>
        <w:pStyle w:val="Heading2"/>
        <w:spacing w:after="120" w:line="259" w:lineRule="auto"/>
      </w:pPr>
      <w:r>
        <w:rPr>
          <w:rFonts w:ascii="Arial" w:hAnsi="Arial"/>
        </w:rPr>
        <w:t>Source hierarchy</w:t>
      </w:r>
    </w:p>
    <w:p>
      <w:pPr>
        <w:spacing w:after="120" w:line="259" w:lineRule="auto"/>
      </w:pPr>
      <w:r>
        <w:rPr>
          <w:rFonts w:ascii="Arial" w:hAnsi="Arial"/>
        </w:rPr>
        <w:t>Preference remains:</w:t>
      </w:r>
    </w:p>
    <w:p>
      <w:pPr>
        <w:spacing w:after="40"/>
        <w:ind w:left="259" w:hanging="259"/>
      </w:pPr>
      <w:r>
        <w:rPr>
          <w:rFonts w:ascii="Arial" w:hAnsi="Arial"/>
        </w:rPr>
        <w:t>1.  official international statistical evidence;</w:t>
      </w:r>
    </w:p>
    <w:p>
      <w:pPr>
        <w:spacing w:after="40"/>
        <w:ind w:left="259" w:hanging="259"/>
      </w:pPr>
      <w:r>
        <w:rPr>
          <w:rFonts w:ascii="Arial" w:hAnsi="Arial"/>
        </w:rPr>
        <w:t>2.  official national/operator evidence;</w:t>
      </w:r>
    </w:p>
    <w:p>
      <w:pPr>
        <w:spacing w:after="40"/>
        <w:ind w:left="259" w:hanging="259"/>
      </w:pPr>
      <w:r>
        <w:rPr>
          <w:rFonts w:ascii="Arial" w:hAnsi="Arial"/>
        </w:rPr>
        <w:t>3.  reproducible independent public datasets;</w:t>
      </w:r>
    </w:p>
    <w:p>
      <w:pPr>
        <w:spacing w:after="40"/>
        <w:ind w:left="259" w:hanging="259"/>
      </w:pPr>
      <w:r>
        <w:rPr>
          <w:rFonts w:ascii="Arial" w:hAnsi="Arial"/>
        </w:rPr>
        <w:t>4.  academic evidence;</w:t>
      </w:r>
    </w:p>
    <w:p>
      <w:pPr>
        <w:spacing w:after="40"/>
        <w:ind w:left="259" w:hanging="259"/>
      </w:pPr>
      <w:r>
        <w:rPr>
          <w:rFonts w:ascii="Arial" w:hAnsi="Arial"/>
        </w:rPr>
        <w:t>5.  consultancy/vendor evidence.</w:t>
      </w:r>
    </w:p>
    <w:p>
      <w:pPr>
        <w:pStyle w:val="Heading2"/>
        <w:spacing w:after="120" w:line="259" w:lineRule="auto"/>
      </w:pPr>
      <w:r>
        <w:rPr>
          <w:rFonts w:ascii="Arial" w:hAnsi="Arial"/>
        </w:rPr>
        <w:t>Estimated-data rule</w:t>
      </w:r>
    </w:p>
    <w:p>
      <w:pPr>
        <w:spacing w:after="120" w:line="259" w:lineRule="auto"/>
      </w:pPr>
      <w:r>
        <w:rPr>
          <w:rFonts w:ascii="Arial" w:hAnsi="Arial"/>
        </w:rPr>
        <w:t>Modeled datasets, including estimates of compute ownership, must be explicitly identified and remain subject to fragile-source movement limits.</w:t>
      </w:r>
    </w:p>
    <w:p>
      <w:pPr>
        <w:pStyle w:val="Heading2"/>
        <w:spacing w:after="120" w:line="259" w:lineRule="auto"/>
      </w:pPr>
      <w:r>
        <w:rPr>
          <w:rFonts w:ascii="Arial" w:hAnsi="Arial"/>
        </w:rPr>
        <w:t>No-source rule</w:t>
      </w:r>
    </w:p>
    <w:p>
      <w:pPr>
        <w:spacing w:after="120" w:line="259" w:lineRule="auto"/>
      </w:pPr>
      <w:r>
        <w:rPr>
          <w:rFonts w:ascii="Arial" w:hAnsi="Arial"/>
        </w:rPr>
        <w:t>Where the concept matters but no credible repeated measure exists, the model records the evidence gap. It does not manufacture a proxy simply to maintain a complete dashboard.</w:t>
      </w:r>
    </w:p>
    <w:p>
      <w:pPr>
        <w:pStyle w:val="Heading1"/>
        <w:spacing w:after="120" w:line="259" w:lineRule="auto"/>
      </w:pPr>
      <w:r>
        <w:rPr>
          <w:rFonts w:ascii="Arial" w:hAnsi="Arial"/>
        </w:rPr>
        <w:t>28. What v12 changes conceptually</w:t>
      </w:r>
    </w:p>
    <w:p>
      <w:pPr>
        <w:spacing w:after="120" w:line="259" w:lineRule="auto"/>
      </w:pPr>
      <w:r>
        <w:rPr>
          <w:rFonts w:ascii="Arial" w:hAnsi="Arial"/>
        </w:rPr>
        <w:t>The simplest summary is:</w:t>
      </w:r>
    </w:p>
    <w:p>
      <w:pPr>
        <w:pStyle w:val="Heading2"/>
        <w:spacing w:after="120" w:line="259" w:lineRule="auto"/>
      </w:pPr>
      <w:r>
        <w:rPr>
          <w:rFonts w:ascii="Arial" w:hAnsi="Arial"/>
        </w:rPr>
        <w:t>v11.9</w:t>
      </w:r>
    </w:p>
    <w:p>
      <w:pPr>
        <w:spacing w:after="120" w:line="259" w:lineRule="auto"/>
      </w:pPr>
      <w:r>
        <w:rPr>
          <w:rFonts w:ascii="Arial" w:hAnsi="Arial"/>
        </w:rPr>
        <w:t>DTR or LIR → conditional FE / MD / UT / LC outcomes, with a mixture of direct and indirect operational indicators.</w:t>
      </w:r>
    </w:p>
    <w:p>
      <w:pPr>
        <w:pStyle w:val="Heading2"/>
        <w:spacing w:after="120" w:line="259" w:lineRule="auto"/>
      </w:pPr>
      <w:r>
        <w:rPr>
          <w:rFonts w:ascii="Arial" w:hAnsi="Arial"/>
        </w:rPr>
        <w:t>v12</w:t>
      </w:r>
    </w:p>
    <w:p>
      <w:pPr>
        <w:spacing w:after="120" w:line="259" w:lineRule="auto"/>
      </w:pPr>
      <w:r>
        <w:rPr>
          <w:rFonts w:ascii="Arial" w:hAnsi="Arial"/>
        </w:rPr>
        <w:t>Structural conditions + economic performance + observed policy posture → probability of DTR versus LIR → conditional FE / MD / UT / LC pathways → blended real-world probabilities, with a smaller and more direct operational indicator set.</w:t>
      </w:r>
    </w:p>
    <w:p>
      <w:pPr>
        <w:spacing w:after="120" w:line="259" w:lineRule="auto"/>
      </w:pPr>
      <w:r>
        <w:rPr>
          <w:rFonts w:ascii="Arial" w:hAnsi="Arial"/>
        </w:rPr>
        <w:t>The model now sees economic growth explicitly, but refuses to confuse growth with empowerment. It sees institutional trust explicitly, but keeps underlying legitimacy separate from operational AI governance. It sees labor participation without creating a seventh silo. It measures compute as economic infrastructure rather than internet speed. And it retains the original insistence that technological capability only becomes empowerment if gains actually diffuse.</w:t>
      </w:r>
    </w:p>
    <w:p>
      <w:pPr>
        <w:pStyle w:val="Heading1"/>
        <w:spacing w:after="120" w:line="259" w:lineRule="auto"/>
      </w:pPr>
      <w:r>
        <w:rPr>
          <w:rFonts w:ascii="Arial" w:hAnsi="Arial"/>
        </w:rPr>
        <w:t>v12 design principle</w:t>
      </w:r>
    </w:p>
    <w:p>
      <w:pPr>
        <w:spacing w:before="120" w:after="240"/>
        <w:ind w:left="504" w:right="504"/>
      </w:pPr>
      <w:r>
        <w:rPr>
          <w:rFonts w:ascii="Arial" w:hAnsi="Arial"/>
          <w:b/>
          <w:color w:val="17365D"/>
          <w:sz w:val="22"/>
        </w:rPr>
        <w:t>Grey Swan v12 does not seek to measure everything that matters. It seeks to measure a small number of things that reveal whether productive capability, institutional capacity and shared participation are moving together. Growth without diffusion is concentration. Diffusion without productive capability is fragile. Technical capability without institutional legitimacy is unstable. Full Empowerment requires all three.</w:t>
      </w:r>
    </w:p>
    <w:p>
      <w:pPr>
        <w:pStyle w:val="Heading1"/>
        <w:spacing w:after="120" w:line="259" w:lineRule="auto"/>
      </w:pPr>
      <w:r>
        <w:rPr>
          <w:rFonts w:ascii="Arial" w:hAnsi="Arial"/>
        </w:rPr>
        <w:t>Architecture freeze</w:t>
      </w:r>
    </w:p>
    <w:p>
      <w:pPr>
        <w:spacing w:after="120" w:line="259" w:lineRule="auto"/>
      </w:pPr>
      <w:r>
        <w:rPr>
          <w:rFonts w:ascii="Arial" w:hAnsi="Arial"/>
        </w:rPr>
        <w:t>This document is the frozen methodological specification for Grey Swan / Archimedes v12.0. The architecture should not be altered during the first v12 model run. Any subsequent change to indicators, sources, thresholds, rules or model structure requires an explicit reopening of the architecture and a new version designation.</w:t>
      </w:r>
    </w:p>
    <w:sectPr w:rsidR="00FC693F" w:rsidRPr="0006063C" w:rsidSect="00034616">
      <w:footerReference w:type="default" r:id="rId9"/>
      <w:pgSz w:w="12240" w:h="15840"/>
      <w:pgMar w:top="1037" w:right="1037"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A5A5A"/>
        <w:sz w:val="16"/>
      </w:rPr>
      <w:t xml:space="preserve">Grey Swan / Archimedes v12.0 Technical Change Note   |   </w:t>
    </w: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rial" w:hAnsi="Arial"/>
      <w:b/>
      <w:bCs/>
      <w:color w:val="1F4E7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0"/>
    </w:rPr>
  </w:style>
  <w:style w:type="paragraph" w:styleId="ListBullet2">
    <w:name w:val="List Bullet 2"/>
    <w:basedOn w:val="Normal"/>
    <w:uiPriority w:val="99"/>
    <w:unhideWhenUsed/>
    <w:rsid w:val="00326F90"/>
    <w:pPr>
      <w:numPr>
        <w:numId w:val="2"/>
      </w:numPr>
      <w:contextualSpacing/>
    </w:pPr>
    <w:rPr>
      <w:rFonts w:ascii="Arial" w:hAnsi="Arial"/>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